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3.jpg" ContentType="image/jpeg"/>
  <Override PartName="/word/media/rId95.png" ContentType="image/pn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2021-10-15</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et al.,</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p. @valenzuela_vinculos_2008)</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et al.,</w:t>
      </w:r>
      <w:r>
        <w:t xml:space="preserve"> </w:t>
      </w:r>
      <w:hyperlink w:anchor="ref-maldonado_inclusion_2020">
        <w:r>
          <w:rPr>
            <w:rStyle w:val="Hipervnculo"/>
          </w:rPr>
          <w:t xml:space="preserve">2020</w:t>
        </w:r>
      </w:hyperlink>
      <w:r>
        <w:t xml:space="preserve">; Sojo et 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(Barozet et al.,</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cohesión-territorial"/>
      <w:r>
        <w:t xml:space="preserve">1.4	Cohesión territorial</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del análisis longitudinal (que se representa en gráficos fluviales).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07"/>
          <w:ilvl w:val="0"/>
        </w:numPr>
      </w:pPr>
      <w:r>
        <w:t xml:space="preserve">Se puede confiar en la mayoría de las personas</w:t>
      </w:r>
    </w:p>
    <w:p>
      <w:pPr>
        <w:numPr>
          <w:numId w:val="1007"/>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Ttulo3"/>
      </w:pPr>
      <w:bookmarkStart w:id="71" w:name="X66dcab928edf39f3a49bab4cc3dae527376d28e"/>
      <w:r>
        <w:t xml:space="preserve">2.1.2	Reconocimiento y respeto de la diversidad</w:t>
      </w:r>
      <w:bookmarkEnd w:id="71"/>
    </w:p>
    <w:p>
      <w:pPr>
        <w:pStyle w:val="FirstParagraph"/>
      </w:pPr>
      <w:r>
        <w:t xml:space="preserve">Los ítems que componen este indicador son:</w:t>
      </w:r>
    </w:p>
    <w:p>
      <w:pPr>
        <w:numPr>
          <w:numId w:val="1008"/>
          <w:ilvl w:val="0"/>
        </w:numPr>
      </w:pPr>
      <w:r>
        <w:t xml:space="preserve">Grado de confianza con personas homosexuales</w:t>
      </w:r>
    </w:p>
    <w:p>
      <w:pPr>
        <w:numPr>
          <w:numId w:val="1008"/>
          <w:ilvl w:val="0"/>
        </w:numPr>
      </w:pPr>
      <w:r>
        <w:t xml:space="preserve">Grado de confianza con personas mapuche</w:t>
      </w:r>
    </w:p>
    <w:p>
      <w:pPr>
        <w:numPr>
          <w:numId w:val="1008"/>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09"/>
          <w:ilvl w:val="0"/>
        </w:numPr>
      </w:pPr>
      <w:r>
        <w:t xml:space="preserve">Me siento orgulloso de ser chileno</w:t>
      </w:r>
    </w:p>
    <w:p>
      <w:pPr>
        <w:numPr>
          <w:numId w:val="1009"/>
          <w:ilvl w:val="0"/>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0"/>
          <w:ilvl w:val="0"/>
        </w:numPr>
      </w:pPr>
      <w:r>
        <w:t xml:space="preserve">En Chile las personas son recompensadas por sus esfuerzos</w:t>
      </w:r>
    </w:p>
    <w:p>
      <w:pPr>
        <w:numPr>
          <w:numId w:val="1010"/>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1"/>
          <w:ilvl w:val="0"/>
        </w:numPr>
      </w:pPr>
      <w:r>
        <w:t xml:space="preserve">Confianza en el gobierno</w:t>
      </w:r>
    </w:p>
    <w:p>
      <w:pPr>
        <w:numPr>
          <w:numId w:val="1011"/>
          <w:ilvl w:val="0"/>
        </w:numPr>
      </w:pPr>
      <w:r>
        <w:t xml:space="preserve">Confianza en el presidente/a de la república</w:t>
      </w:r>
    </w:p>
    <w:p>
      <w:pPr>
        <w:numPr>
          <w:numId w:val="1011"/>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2"/>
          <w:ilvl w:val="0"/>
        </w:numPr>
      </w:pPr>
      <w:r>
        <w:t xml:space="preserve">Ha donado dinero a una obra social o de caridad</w:t>
      </w:r>
    </w:p>
    <w:p>
      <w:pPr>
        <w:numPr>
          <w:numId w:val="1012"/>
          <w:ilvl w:val="0"/>
        </w:numPr>
      </w:pPr>
      <w:r>
        <w:t xml:space="preserve">Ha prestado una suma de dinero de $10.000.- o más</w:t>
      </w:r>
    </w:p>
    <w:p>
      <w:pPr>
        <w:numPr>
          <w:numId w:val="1012"/>
          <w:ilvl w:val="0"/>
        </w:numPr>
      </w:pPr>
      <w:r>
        <w:t xml:space="preserve">Ha conversado con una persona en problemas o deprimida</w:t>
      </w:r>
    </w:p>
    <w:p>
      <w:pPr>
        <w:numPr>
          <w:numId w:val="1012"/>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3"/>
          <w:ilvl w:val="0"/>
        </w:numPr>
      </w:pPr>
      <w:r>
        <w:t xml:space="preserve">Firmado una carta o petición apoyando una causa</w:t>
      </w:r>
    </w:p>
    <w:p>
      <w:pPr>
        <w:numPr>
          <w:numId w:val="1013"/>
          <w:ilvl w:val="0"/>
        </w:numPr>
      </w:pPr>
      <w:r>
        <w:t xml:space="preserve">Asistido a una marcha o manifestación pacífica</w:t>
      </w:r>
    </w:p>
    <w:p>
      <w:pPr>
        <w:numPr>
          <w:numId w:val="1013"/>
          <w:ilvl w:val="0"/>
        </w:numPr>
      </w:pPr>
      <w:r>
        <w:t xml:space="preserve">Participado en una huelga</w:t>
      </w:r>
    </w:p>
    <w:p>
      <w:pPr>
        <w:numPr>
          <w:numId w:val="1013"/>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vínculos-territoriales"/>
      <w:r>
        <w:t xml:space="preserve">2.4	Vínculos territoriales</w:t>
      </w:r>
      <w:bookmarkEnd w:id="87"/>
    </w:p>
    <w:p>
      <w:pPr>
        <w:pStyle w:val="FirstParagraph"/>
      </w:pPr>
      <w:r>
        <w:t xml:space="preserve">Los items que componen este indicador son:</w:t>
      </w:r>
    </w:p>
    <w:p>
      <w:pPr>
        <w:numPr>
          <w:numId w:val="1014"/>
          <w:ilvl w:val="0"/>
        </w:numPr>
      </w:pPr>
      <w:r>
        <w:t xml:space="preserve">Este barrio es ideal para mi</w:t>
      </w:r>
    </w:p>
    <w:p>
      <w:pPr>
        <w:numPr>
          <w:numId w:val="1014"/>
          <w:ilvl w:val="0"/>
        </w:numPr>
      </w:pPr>
      <w:r>
        <w:t xml:space="preserve">Me siento integrado/a en este barrio</w:t>
      </w:r>
    </w:p>
    <w:p>
      <w:pPr>
        <w:numPr>
          <w:numId w:val="1014"/>
          <w:ilvl w:val="0"/>
        </w:numPr>
      </w:pPr>
      <w:r>
        <w:t xml:space="preserve">Me identifico con la gente de este barrio</w:t>
      </w:r>
    </w:p>
    <w:p>
      <w:pPr>
        <w:numPr>
          <w:numId w:val="1014"/>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tulo2"/>
      </w:pPr>
      <w:bookmarkStart w:id="89" w:name="conclusión"/>
      <w:r>
        <w:t xml:space="preserve">2.5	Conclusión</w:t>
      </w:r>
      <w:bookmarkEnd w:id="89"/>
    </w:p>
    <w:p>
      <w:pPr>
        <w:pStyle w:val="FirstParagraph"/>
      </w:pPr>
      <w:r>
        <w:t xml:space="preserve">En primer lugar, respecto de las frecuencias, se observa una varianza más bien baja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varianzas,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p>
      <w:pPr>
        <w:pStyle w:val="Ttulo1"/>
      </w:pPr>
      <w:bookmarkStart w:id="90" w:name="Xce4ceb0c0204d9856f90dbb3566ad8fbfdfdc3b"/>
      <w:r>
        <w:t xml:space="preserve">3	Habilitadores e inhibidores de la cohesión social</w:t>
      </w:r>
      <w:bookmarkEnd w:id="90"/>
    </w:p>
    <w:p>
      <w:pPr>
        <w:pStyle w:val="Ttulo2"/>
      </w:pPr>
      <w:bookmarkStart w:id="91" w:name="perfiles-de-la-cohesión-social"/>
      <w:r>
        <w:t xml:space="preserve">3.1	Perfiles de la cohesión social</w:t>
      </w:r>
      <w:bookmarkEnd w:id="91"/>
    </w:p>
    <w:p>
      <w:pPr>
        <w:pStyle w:val="FirstParagraph"/>
      </w:pPr>
      <w:r>
        <w:t xml:space="preserve">Los capítulos anteriores entregaron una medición de la cohesión social y mostraron su evolución en el tiempo. Este capítulo ofrece una visión sintética de la cohesión social a partir de las similitudes entre individuos. A tal fin se comparan los niveles individuales en las nueve subdimensiones de la cohesión para establecer grupos a partir de sus similitudes. Los grupos corresponden a</w:t>
      </w:r>
      <w:r>
        <w:t xml:space="preserve"> </w:t>
      </w:r>
      <w:r>
        <w:t xml:space="preserve">‘</w:t>
      </w:r>
      <w:r>
        <w:t xml:space="preserve">perfiles</w:t>
      </w:r>
      <w:r>
        <w:t xml:space="preserve">’</w:t>
      </w:r>
      <w:r>
        <w:t xml:space="preserve"> </w:t>
      </w:r>
      <w:r>
        <w:t xml:space="preserve">de cohesión social caracterizados por diferencias de nivel entre sub-dimensiones, las cuales se interpretan relacionalmente y también con relación a otros aspectos que caracterizan a la sociedad chilena.</w:t>
      </w:r>
    </w:p>
    <w:p>
      <w:pPr>
        <w:pStyle w:val="Textoindependiente"/>
      </w:pPr>
      <w:r>
        <w:t xml:space="preserve">La cohesión social y sus habilitadores se refieren a elementos estructurales que caracterizan un país. Dentro de un país puedan coexistir distintas formas de cohesión, o aún niveles, lo cual podría eventualmente afectar la cohesión global. La variación de la cohesión social dentro de un país refleja la forma en que individuos o agrupaciones sociales, así como territorios, corresponde a niveles y pautas diferenciadas de cohesión; en la medida que estas variaciones van más allá del error aleatorio que acompaña toda medición pueden interpretarse sustantivamente. La diferenciación en este informe se presenta como una tipología de cohesión que permite reconocer tres grupos: Aquellos atomizados que exhiben los niveles más bajos de cohesión en todas las subdimensiones. Los que denominamos</w:t>
      </w:r>
      <w:r>
        <w:t xml:space="preserve"> </w:t>
      </w:r>
      <w:r>
        <w:t xml:space="preserve">‘</w:t>
      </w:r>
      <w:r>
        <w:t xml:space="preserve">institucionales</w:t>
      </w:r>
      <w:r>
        <w:t xml:space="preserve">’</w:t>
      </w:r>
      <w:r>
        <w:t xml:space="preserve"> </w:t>
      </w:r>
      <w:r>
        <w:t xml:space="preserve">muestran valores más altos que el resto en la confianza institucional y la identificación nacional. Finalmente, denominamos</w:t>
      </w:r>
      <w:r>
        <w:t xml:space="preserve"> </w:t>
      </w:r>
      <w:r>
        <w:t xml:space="preserve">‘</w:t>
      </w:r>
      <w:r>
        <w:t xml:space="preserve">movilizados</w:t>
      </w:r>
      <w:r>
        <w:t xml:space="preserve">’</w:t>
      </w:r>
      <w:r>
        <w:t xml:space="preserve"> </w:t>
      </w:r>
      <w:r>
        <w:t xml:space="preserve">a quienes muestran valores mayores en las subdimensiones de participación cívica y orientación a la solidaridad.</w:t>
      </w:r>
    </w:p>
    <w:p>
      <w:pPr>
        <w:pStyle w:val="Textoindependiente"/>
      </w:pPr>
      <w:r>
        <w:t xml:space="preserve">La tipología obtenida permite agrupar individuos con perfiles de cohesión similares, para describirles en términos de las características de su inclusión social. Los elementos de inclusión son el área preferente de implementación de las políticas públicas y pueden concebirse como habilitadores o disruptores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procesos de la cohesión social puede también enfrentar disrupciones ya sea estructurales, como exclusión persistente, o coyunturales como los ciclos económicos o recientemente la pandemia asociada al covid-19.</w:t>
      </w:r>
    </w:p>
    <w:p>
      <w:pPr>
        <w:pStyle w:val="Ttulo3"/>
      </w:pPr>
      <w:bookmarkStart w:id="92" w:name="X0c66c9194db0610b46d61776773d1dd5f30ae3e"/>
      <w:r>
        <w:t xml:space="preserve">3.1.1	Una tipología de clases latentes a partir de las subdimensiones de cohesión social</w:t>
      </w:r>
      <w:bookmarkEnd w:id="92"/>
    </w:p>
    <w:p>
      <w:pPr>
        <w:pStyle w:val="FirstParagraph"/>
      </w:pPr>
      <w:r>
        <w:t xml:space="preserve">El análisis de la variación en los niveles de cohesión social dentro de la muestra utiliza los niveles individuales de las subdimensiones que componen la medida de cohesión social (ver capítulo 1 de este informe).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 Visto como índice sintético, un mismo nivel puede agrupar individuos con perfiles de respuesta diferentes, los cuales se toman en cuenta al construir una tipología en la medida que representan formas diferenciadas de incorporación en una sociedad.</w:t>
      </w:r>
    </w:p>
    <w:p>
      <w:pPr>
        <w:pStyle w:val="Textoindependiente"/>
      </w:pPr>
      <w:r>
        <w:t xml:space="preserve">Los procedimientos de clasificación automática comparan sistemáticamente los niveles de respuesta entre individuos utilizando una medida de distancia que establece su similitud. El análisis de clases latentes (ACL) supone que los niveles observados corresponden a una variable subyacente con dos o más categorías. El ACL ubica la clasificación en el marco de los modelos de ecuaciones estructurales, por lo que la estimación maximiza la probabilidad de que un individuo pertenezca a una clase. 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El análisis de clases latentes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subdimensión. Las medias de las subdimensiones fueron dicotomizadas usando la mediana como punto de corte. El análisis de clases latentes se realiza sobre 9 variables dicotómicas que describen los individuos en términos de alto o bajo puntaje en cada subdimensión. Los procedimientos de clasificación automática asignan los individuos a grupos pero no establecen un número óptimo de grupos, lo cual constituye una decisión sustantiva basada en su interpretabilidad. En los datos chilenos de ELSOC una clasificación en tres grupos permite presentar tres perfiles distintos de cohesión social, que denominamos atomizado, institucional y movilizado.</w:t>
      </w:r>
    </w:p>
    <w:p>
      <w:pPr>
        <w:pStyle w:val="Textoindependiente"/>
      </w:pPr>
      <w:r>
        <w:t xml:space="preserve">La Figura</w:t>
      </w:r>
      <w:r>
        <w:t xml:space="preserve"> </w:t>
      </w:r>
      <w:r>
        <w:t xml:space="preserve">3.1</w:t>
      </w:r>
      <w:r>
        <w:t xml:space="preserve"> </w:t>
      </w:r>
      <w:r>
        <w:t xml:space="preserve">presenta los puntajes de los grupos en las subdimensiones:</w:t>
      </w:r>
    </w:p>
    <w:p>
      <w:pPr>
        <w:pStyle w:val="CaptionedFigure"/>
      </w:pPr>
      <w:r>
        <w:drawing>
          <wp:inline>
            <wp:extent cx="5600700" cy="2240280"/>
            <wp:effectExtent b="0" l="0" r="0" t="0"/>
            <wp:docPr descr="Figura 3.1: Tipologia de las clases latentes de cohesio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3"/>
                    <a:stretch>
                      <a:fillRect/>
                    </a:stretch>
                  </pic:blipFill>
                  <pic:spPr bwMode="auto">
                    <a:xfrm>
                      <a:off x="0" y="0"/>
                      <a:ext cx="5600700" cy="2240280"/>
                    </a:xfrm>
                    <a:prstGeom prst="rect">
                      <a:avLst/>
                    </a:prstGeom>
                    <a:noFill/>
                    <a:ln w="9525">
                      <a:noFill/>
                      <a:headEnd/>
                      <a:tailEnd/>
                    </a:ln>
                  </pic:spPr>
                </pic:pic>
              </a:graphicData>
            </a:graphic>
          </wp:inline>
        </w:drawing>
      </w:r>
    </w:p>
    <w:p>
      <w:pPr>
        <w:pStyle w:val="ImageCaption"/>
      </w:pPr>
      <w:r>
        <w:t xml:space="preserve">Figura 3.1: Tipologia de las clases latentes de cohesion social.</w:t>
      </w:r>
    </w:p>
    <w:p>
      <w:pPr>
        <w:pStyle w:val="Compact"/>
        <w:numPr>
          <w:numId w:val="1015"/>
          <w:ilvl w:val="0"/>
        </w:numPr>
      </w:pPr>
      <w:r>
        <w:t xml:space="preserve">Movilizados:</w:t>
      </w:r>
    </w:p>
    <w:p>
      <w:pPr>
        <w:pStyle w:val="FirstParagraph"/>
      </w:pPr>
      <w:r>
        <w:t xml:space="preserve">Comprenden 42% de la muestra. Los elementos que les destacan remiten a una dimensión horizontal de la cohesión social en la cual los principios de cooperación y respeto entre iguales operan como organizadores de la vida social.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 que no hay justicia en la distribución de recompensas sociales y posee menor confianza en instituciones.</w:t>
      </w:r>
    </w:p>
    <w:p>
      <w:pPr>
        <w:numPr>
          <w:numId w:val="1016"/>
          <w:ilvl w:val="0"/>
        </w:numPr>
      </w:pPr>
      <w:r>
        <w:t xml:space="preserve">conductas prosociales orientadas al altruismo y la solidaridad</w:t>
      </w:r>
    </w:p>
    <w:p>
      <w:pPr>
        <w:numPr>
          <w:numId w:val="1016"/>
          <w:ilvl w:val="0"/>
        </w:numPr>
      </w:pPr>
      <w:r>
        <w:t xml:space="preserve">activos en participación cívica</w:t>
      </w:r>
    </w:p>
    <w:p>
      <w:pPr>
        <w:numPr>
          <w:numId w:val="1016"/>
          <w:ilvl w:val="0"/>
        </w:numPr>
      </w:pPr>
      <w:r>
        <w:t xml:space="preserve">Altos en respeto a la diversidad cultural</w:t>
      </w:r>
    </w:p>
    <w:p>
      <w:pPr>
        <w:numPr>
          <w:numId w:val="1016"/>
          <w:ilvl w:val="0"/>
        </w:numPr>
      </w:pPr>
      <w:r>
        <w:t xml:space="preserve">bajos en los indicadores que caracterizan a los institucionales</w:t>
      </w:r>
    </w:p>
    <w:p>
      <w:pPr>
        <w:numPr>
          <w:numId w:val="1016"/>
          <w:ilvl w:val="0"/>
        </w:numPr>
      </w:pPr>
      <w:r>
        <w:t xml:space="preserve">Institucionales.</w:t>
      </w:r>
    </w:p>
    <w:p>
      <w:pPr>
        <w:pStyle w:val="FirstParagraph"/>
      </w:pPr>
      <w:r>
        <w:t xml:space="preserve">Comprenden 32% de la muestra. Sus características refieren a una forma de cohesión vertical o jerarquizada, en la cual las instituciones y la identificación nacional organizan el comportamiento individual.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numId w:val="1017"/>
          <w:ilvl w:val="0"/>
        </w:numPr>
      </w:pPr>
      <w:r>
        <w:t xml:space="preserve">Identificación con el país</w:t>
      </w:r>
    </w:p>
    <w:p>
      <w:pPr>
        <w:numPr>
          <w:numId w:val="1017"/>
          <w:ilvl w:val="0"/>
        </w:numPr>
      </w:pPr>
      <w:r>
        <w:t xml:space="preserve">Creen que en Chile las personas son recompensadas por su inteligencia y su esfuerzo</w:t>
      </w:r>
    </w:p>
    <w:p>
      <w:pPr>
        <w:numPr>
          <w:numId w:val="1017"/>
          <w:ilvl w:val="0"/>
        </w:numPr>
      </w:pPr>
      <w:r>
        <w:t xml:space="preserve">Exhiben un nivel comparativamente alto de confianza en las instituciones</w:t>
      </w:r>
    </w:p>
    <w:p>
      <w:pPr>
        <w:numPr>
          <w:numId w:val="1017"/>
          <w:ilvl w:val="0"/>
        </w:numPr>
      </w:pPr>
      <w:r>
        <w:t xml:space="preserve">más altos en confianza vecinal</w:t>
      </w:r>
    </w:p>
    <w:p>
      <w:pPr>
        <w:numPr>
          <w:numId w:val="1017"/>
          <w:ilvl w:val="0"/>
        </w:numPr>
      </w:pPr>
      <w:r>
        <w:t xml:space="preserve">bajos en lazos y participación</w:t>
      </w:r>
    </w:p>
    <w:p>
      <w:pPr>
        <w:numPr>
          <w:numId w:val="1017"/>
          <w:ilvl w:val="0"/>
        </w:numPr>
      </w:pPr>
      <w:r>
        <w:t xml:space="preserve">atomizados:</w:t>
      </w:r>
    </w:p>
    <w:p>
      <w:pPr>
        <w:numPr>
          <w:numId w:val="1000"/>
          <w:ilvl w:val="0"/>
        </w:numPr>
      </w:pPr>
      <w:r>
        <w:t xml:space="preserve">Presentan los niveles más bajos en todas las subdimensiones y comprenden 26% de esta muestra. Destacan la carencia de lazos sociales, así como sus bajos niveles de identificación y solidaridad.</w:t>
      </w:r>
    </w:p>
    <w:p>
      <w:pPr>
        <w:pStyle w:val="Ttulo2"/>
      </w:pPr>
      <w:bookmarkStart w:id="94" w:name="X2763955efc653b6f9941ebca81a3e345902aa81"/>
      <w:r>
        <w:t xml:space="preserve">3.2	Niveles de cohesión social en las regiones chilenas</w:t>
      </w:r>
      <w:bookmarkEnd w:id="94"/>
    </w:p>
    <w:p>
      <w:pPr>
        <w:pStyle w:val="FirstParagraph"/>
      </w:pPr>
      <w:r>
        <w:t xml:space="preserve">La distribución territorial de los perfiles de cohesión social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Compact"/>
      </w:pPr>
      <w:r>
        <w:t xml:space="preserve">Tabla 3.1: Distribucion de las clases de cohesion social por region</w:t>
      </w:r>
    </w:p>
    <w:p>
      <w:pPr>
        <w:pStyle w:val="Compact"/>
      </w:pPr>
      <w:r>
        <w:t xml:space="preserve">Region</w:t>
      </w:r>
    </w:p>
    <w:p>
      <w:pPr>
        <w:pStyle w:val="Compact"/>
      </w:pPr>
      <w:r>
        <w:t xml:space="preserve">Clases de cohesión social</w:t>
      </w:r>
    </w:p>
    <w:p>
      <w:pPr>
        <w:pStyle w:val="Compact"/>
      </w:pPr>
      <w:r>
        <w:t xml:space="preserve">Movilizados</w:t>
      </w:r>
    </w:p>
    <w:p>
      <w:pPr>
        <w:pStyle w:val="Compact"/>
      </w:pPr>
      <w:r>
        <w:t xml:space="preserve">Institucionales</w:t>
      </w:r>
    </w:p>
    <w:p>
      <w:pPr>
        <w:pStyle w:val="Compact"/>
      </w:pPr>
      <w:r>
        <w:t xml:space="preserve">Atomizado</w:t>
      </w:r>
    </w:p>
    <w:p>
      <w:pPr>
        <w:pStyle w:val="Compact"/>
      </w:pPr>
      <w:r>
        <w:t xml:space="preserve">N=100%</w:t>
      </w:r>
    </w:p>
    <w:p>
      <w:pPr>
        <w:pStyle w:val="Compact"/>
      </w:pPr>
      <w:r>
        <w:t xml:space="preserve">Tarapaca</w:t>
      </w:r>
    </w:p>
    <w:p>
      <w:pPr>
        <w:pStyle w:val="Compact"/>
      </w:pPr>
      <w:r>
        <w:t xml:space="preserve">54.5</w:t>
      </w:r>
    </w:p>
    <w:p>
      <w:pPr>
        <w:pStyle w:val="Compact"/>
      </w:pPr>
      <w:r>
        <w:t xml:space="preserve">27.3</w:t>
      </w:r>
    </w:p>
    <w:p>
      <w:pPr>
        <w:pStyle w:val="Compact"/>
      </w:pPr>
      <w:r>
        <w:t xml:space="preserve">18.2</w:t>
      </w:r>
    </w:p>
    <w:p>
      <w:pPr>
        <w:pStyle w:val="Compact"/>
      </w:pPr>
      <w:r>
        <w:t xml:space="preserve">22</w:t>
      </w:r>
    </w:p>
    <w:p>
      <w:pPr>
        <w:pStyle w:val="Compact"/>
      </w:pPr>
      <w:r>
        <w:t xml:space="preserve">Antofagasta</w:t>
      </w:r>
    </w:p>
    <w:p>
      <w:pPr>
        <w:pStyle w:val="Compact"/>
      </w:pPr>
      <w:r>
        <w:t xml:space="preserve">60.0</w:t>
      </w:r>
    </w:p>
    <w:p>
      <w:pPr>
        <w:pStyle w:val="Compact"/>
      </w:pPr>
      <w:r>
        <w:t xml:space="preserve">25.7</w:t>
      </w:r>
    </w:p>
    <w:p>
      <w:pPr>
        <w:pStyle w:val="Compact"/>
      </w:pPr>
      <w:r>
        <w:t xml:space="preserve">14.3</w:t>
      </w:r>
    </w:p>
    <w:p>
      <w:pPr>
        <w:pStyle w:val="Compact"/>
      </w:pPr>
      <w:r>
        <w:t xml:space="preserve">35</w:t>
      </w:r>
    </w:p>
    <w:p>
      <w:pPr>
        <w:pStyle w:val="Compact"/>
      </w:pPr>
      <w:r>
        <w:t xml:space="preserve">Atacama</w:t>
      </w:r>
    </w:p>
    <w:p>
      <w:pPr>
        <w:pStyle w:val="Compact"/>
      </w:pPr>
      <w:r>
        <w:t xml:space="preserve">51.9</w:t>
      </w:r>
    </w:p>
    <w:p>
      <w:pPr>
        <w:pStyle w:val="Compact"/>
      </w:pPr>
      <w:r>
        <w:t xml:space="preserve">22.2</w:t>
      </w:r>
    </w:p>
    <w:p>
      <w:pPr>
        <w:pStyle w:val="Compact"/>
      </w:pPr>
      <w:r>
        <w:t xml:space="preserve">25.9</w:t>
      </w:r>
    </w:p>
    <w:p>
      <w:pPr>
        <w:pStyle w:val="Compact"/>
      </w:pPr>
      <w:r>
        <w:t xml:space="preserve">54</w:t>
      </w:r>
    </w:p>
    <w:p>
      <w:pPr>
        <w:pStyle w:val="Compact"/>
      </w:pPr>
      <w:r>
        <w:t xml:space="preserve">Coquimbo</w:t>
      </w:r>
    </w:p>
    <w:p>
      <w:pPr>
        <w:pStyle w:val="Compact"/>
      </w:pPr>
      <w:r>
        <w:t xml:space="preserve">28.2</w:t>
      </w:r>
    </w:p>
    <w:p>
      <w:pPr>
        <w:pStyle w:val="Compact"/>
      </w:pPr>
      <w:r>
        <w:t xml:space="preserve">42.4</w:t>
      </w:r>
    </w:p>
    <w:p>
      <w:pPr>
        <w:pStyle w:val="Compact"/>
      </w:pPr>
      <w:r>
        <w:t xml:space="preserve">29.4</w:t>
      </w:r>
    </w:p>
    <w:p>
      <w:pPr>
        <w:pStyle w:val="Compact"/>
      </w:pPr>
      <w:r>
        <w:t xml:space="preserve">85</w:t>
      </w:r>
    </w:p>
    <w:p>
      <w:pPr>
        <w:pStyle w:val="Compact"/>
      </w:pPr>
      <w:r>
        <w:t xml:space="preserve">Valparaiso</w:t>
      </w:r>
    </w:p>
    <w:p>
      <w:pPr>
        <w:pStyle w:val="Compact"/>
      </w:pPr>
      <w:r>
        <w:t xml:space="preserve">46.4</w:t>
      </w:r>
    </w:p>
    <w:p>
      <w:pPr>
        <w:pStyle w:val="Compact"/>
      </w:pPr>
      <w:r>
        <w:t xml:space="preserve">28.1</w:t>
      </w:r>
    </w:p>
    <w:p>
      <w:pPr>
        <w:pStyle w:val="Compact"/>
      </w:pPr>
      <w:r>
        <w:t xml:space="preserve">25.4</w:t>
      </w:r>
    </w:p>
    <w:p>
      <w:pPr>
        <w:pStyle w:val="Compact"/>
      </w:pPr>
      <w:r>
        <w:t xml:space="preserve">224</w:t>
      </w:r>
    </w:p>
    <w:p>
      <w:pPr>
        <w:pStyle w:val="Compact"/>
      </w:pPr>
      <w:r>
        <w:t xml:space="preserve">Metropolitana</w:t>
      </w:r>
    </w:p>
    <w:p>
      <w:pPr>
        <w:pStyle w:val="Compact"/>
      </w:pPr>
      <w:r>
        <w:t xml:space="preserve">47.8</w:t>
      </w:r>
    </w:p>
    <w:p>
      <w:pPr>
        <w:pStyle w:val="Compact"/>
      </w:pPr>
      <w:r>
        <w:t xml:space="preserve">26.6</w:t>
      </w:r>
    </w:p>
    <w:p>
      <w:pPr>
        <w:pStyle w:val="Compact"/>
      </w:pPr>
      <w:r>
        <w:t xml:space="preserve">25.6</w:t>
      </w:r>
    </w:p>
    <w:p>
      <w:pPr>
        <w:pStyle w:val="Compact"/>
      </w:pPr>
      <w:r>
        <w:t xml:space="preserve">425</w:t>
      </w:r>
    </w:p>
    <w:p>
      <w:pPr>
        <w:pStyle w:val="Compact"/>
      </w:pPr>
      <w:r>
        <w:t xml:space="preserve">Lib. Gral. B. Ohiggins</w:t>
      </w:r>
    </w:p>
    <w:p>
      <w:pPr>
        <w:pStyle w:val="Compact"/>
      </w:pPr>
      <w:r>
        <w:t xml:space="preserve">56.6</w:t>
      </w:r>
    </w:p>
    <w:p>
      <w:pPr>
        <w:pStyle w:val="Compact"/>
      </w:pPr>
      <w:r>
        <w:t xml:space="preserve">20.8</w:t>
      </w:r>
    </w:p>
    <w:p>
      <w:pPr>
        <w:pStyle w:val="Compact"/>
      </w:pPr>
      <w:r>
        <w:t xml:space="preserve">22.6</w:t>
      </w:r>
    </w:p>
    <w:p>
      <w:pPr>
        <w:pStyle w:val="Compact"/>
      </w:pPr>
      <w:r>
        <w:t xml:space="preserve">53</w:t>
      </w:r>
    </w:p>
    <w:p>
      <w:pPr>
        <w:pStyle w:val="Compact"/>
      </w:pPr>
      <w:r>
        <w:t xml:space="preserve">Maule</w:t>
      </w:r>
    </w:p>
    <w:p>
      <w:pPr>
        <w:pStyle w:val="Compact"/>
      </w:pPr>
      <w:r>
        <w:t xml:space="preserve">38.8</w:t>
      </w:r>
    </w:p>
    <w:p>
      <w:pPr>
        <w:pStyle w:val="Compact"/>
      </w:pPr>
      <w:r>
        <w:t xml:space="preserve">38.8</w:t>
      </w:r>
    </w:p>
    <w:p>
      <w:pPr>
        <w:pStyle w:val="Compact"/>
      </w:pPr>
      <w:r>
        <w:t xml:space="preserve">22.3</w:t>
      </w:r>
    </w:p>
    <w:p>
      <w:pPr>
        <w:pStyle w:val="Compact"/>
      </w:pPr>
      <w:r>
        <w:t xml:space="preserve">121</w:t>
      </w:r>
    </w:p>
    <w:p>
      <w:pPr>
        <w:pStyle w:val="Compact"/>
      </w:pPr>
      <w:r>
        <w:t xml:space="preserve">Bio Bio</w:t>
      </w:r>
    </w:p>
    <w:p>
      <w:pPr>
        <w:pStyle w:val="Compact"/>
      </w:pPr>
      <w:r>
        <w:t xml:space="preserve">37.8</w:t>
      </w:r>
    </w:p>
    <w:p>
      <w:pPr>
        <w:pStyle w:val="Compact"/>
      </w:pPr>
      <w:r>
        <w:t xml:space="preserve">38.2</w:t>
      </w:r>
    </w:p>
    <w:p>
      <w:pPr>
        <w:pStyle w:val="Compact"/>
      </w:pPr>
      <w:r>
        <w:t xml:space="preserve">24.0</w:t>
      </w:r>
    </w:p>
    <w:p>
      <w:pPr>
        <w:pStyle w:val="Compact"/>
      </w:pPr>
      <w:r>
        <w:t xml:space="preserve">275</w:t>
      </w:r>
    </w:p>
    <w:p>
      <w:pPr>
        <w:pStyle w:val="Compact"/>
      </w:pPr>
      <w:r>
        <w:t xml:space="preserve">Araucania</w:t>
      </w:r>
    </w:p>
    <w:p>
      <w:pPr>
        <w:pStyle w:val="Compact"/>
      </w:pPr>
      <w:r>
        <w:t xml:space="preserve">36.4</w:t>
      </w:r>
    </w:p>
    <w:p>
      <w:pPr>
        <w:pStyle w:val="Compact"/>
      </w:pPr>
      <w:r>
        <w:t xml:space="preserve">39.7</w:t>
      </w:r>
    </w:p>
    <w:p>
      <w:pPr>
        <w:pStyle w:val="Compact"/>
      </w:pPr>
      <w:r>
        <w:t xml:space="preserve">24.0</w:t>
      </w:r>
    </w:p>
    <w:p>
      <w:pPr>
        <w:pStyle w:val="Compact"/>
      </w:pPr>
      <w:r>
        <w:t xml:space="preserve">121</w:t>
      </w:r>
    </w:p>
    <w:p>
      <w:pPr>
        <w:pStyle w:val="Compact"/>
      </w:pPr>
      <w:r>
        <w:t xml:space="preserve">Los Rios</w:t>
      </w:r>
    </w:p>
    <w:p>
      <w:pPr>
        <w:pStyle w:val="Compact"/>
      </w:pPr>
      <w:r>
        <w:t xml:space="preserve">12.9</w:t>
      </w:r>
    </w:p>
    <w:p>
      <w:pPr>
        <w:pStyle w:val="Compact"/>
      </w:pPr>
      <w:r>
        <w:t xml:space="preserve">74.2</w:t>
      </w:r>
    </w:p>
    <w:p>
      <w:pPr>
        <w:pStyle w:val="Compact"/>
      </w:pPr>
      <w:r>
        <w:t xml:space="preserve">12.9</w:t>
      </w:r>
    </w:p>
    <w:p>
      <w:pPr>
        <w:pStyle w:val="Compact"/>
      </w:pPr>
      <w:r>
        <w:t xml:space="preserve">31</w:t>
      </w:r>
    </w:p>
    <w:p>
      <w:pPr>
        <w:pStyle w:val="Compact"/>
      </w:pPr>
      <w:r>
        <w:t xml:space="preserve">Los Lagos</w:t>
      </w:r>
    </w:p>
    <w:p>
      <w:pPr>
        <w:pStyle w:val="Compact"/>
      </w:pPr>
      <w:r>
        <w:t xml:space="preserve">48.5</w:t>
      </w:r>
    </w:p>
    <w:p>
      <w:pPr>
        <w:pStyle w:val="Compact"/>
      </w:pPr>
      <w:r>
        <w:t xml:space="preserve">30.3</w:t>
      </w:r>
    </w:p>
    <w:p>
      <w:pPr>
        <w:pStyle w:val="Compact"/>
      </w:pPr>
      <w:r>
        <w:t xml:space="preserve">21.2</w:t>
      </w:r>
    </w:p>
    <w:p>
      <w:pPr>
        <w:pStyle w:val="Compact"/>
      </w:pPr>
      <w:r>
        <w:t xml:space="preserve">33</w:t>
      </w:r>
    </w:p>
    <w:p>
      <w:pPr>
        <w:pStyle w:val="Compact"/>
      </w:pPr>
      <w:r>
        <w:t xml:space="preserve">Aysen</w:t>
      </w:r>
    </w:p>
    <w:p>
      <w:pPr>
        <w:pStyle w:val="Compact"/>
      </w:pPr>
      <w:r>
        <w:t xml:space="preserve">63.6</w:t>
      </w:r>
    </w:p>
    <w:p>
      <w:pPr>
        <w:pStyle w:val="Compact"/>
      </w:pPr>
      <w:r>
        <w:t xml:space="preserve">18.2</w:t>
      </w:r>
    </w:p>
    <w:p>
      <w:pPr>
        <w:pStyle w:val="Compact"/>
      </w:pPr>
      <w:r>
        <w:t xml:space="preserve">18.2</w:t>
      </w:r>
    </w:p>
    <w:p>
      <w:pPr>
        <w:pStyle w:val="Compact"/>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Destacando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istribución de las clases latentes de cohesion social por regio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istribución de las clases latentes de cohesion social por region.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p>
      <w:pPr>
        <w:pStyle w:val="Ttulo2"/>
      </w:pPr>
      <w:bookmarkStart w:id="96" w:name="Xec3c135aec1b1dc8dba6927d4ff367ba6beb88b"/>
      <w:r>
        <w:t xml:space="preserve">3.3	Perfiles de cohesión según elementos habilitadores</w:t>
      </w:r>
      <w:bookmarkEnd w:id="96"/>
    </w:p>
    <w:p>
      <w:pPr>
        <w:pStyle w:val="FirstParagraph"/>
      </w:pPr>
      <w:r>
        <w:t xml:space="preserve">A continuación presentamos tabulaciones descriptivas destinadas a mostrar los efectos directos de factores estructurales de inclusión laboral y social que se hipotetiza es el valor de la media nacional está influido por los valores más bajos de algunas regiones, por lo que en la mayor parte del país tiende a predominar este perfil.tán asociados con la cohesión social. El análisis se aproxima al efecto de los factores habilitadores sobre la tipología de cohesión social sin asignar carácter explicativo a éstos, dado que en su operación los efectos directos están mediados o interactúan con otros. Los factores habilitadores están clasificados en siete grupos: inclusión laboral, edad, educación, nivel de ingreso, etnia, nacionalidad, aislamiento territorial.</w:t>
      </w:r>
    </w:p>
    <w:p>
      <w:pPr>
        <w:pStyle w:val="Ttulo3"/>
      </w:pPr>
      <w:bookmarkStart w:id="97" w:name="inclusión-laboral"/>
      <w:r>
        <w:t xml:space="preserve">3.3.1	Inclusión laboral</w:t>
      </w:r>
      <w:bookmarkEnd w:id="97"/>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Compact"/>
      </w:pPr>
      <w:r>
        <w:t xml:space="preserve">Tabla 3.2: Efecto del tipo de empleo sobre las clases de cohesion social</w:t>
      </w:r>
    </w:p>
    <w:p>
      <w:pPr>
        <w:pStyle w:val="Compact"/>
      </w:pPr>
      <w:r>
        <w:t xml:space="preserve">Tipo de empleo</w:t>
      </w:r>
    </w:p>
    <w:p>
      <w:pPr>
        <w:pStyle w:val="Compact"/>
      </w:pPr>
      <w:r>
        <w:t xml:space="preserve">Clases de cohesión social</w:t>
      </w:r>
    </w:p>
    <w:p>
      <w:pPr>
        <w:pStyle w:val="Compact"/>
      </w:pPr>
      <w:r>
        <w:t xml:space="preserve">Formal</w:t>
      </w:r>
    </w:p>
    <w:p>
      <w:pPr>
        <w:pStyle w:val="Compact"/>
      </w:pPr>
      <w:r>
        <w:t xml:space="preserve">Informal</w:t>
      </w:r>
    </w:p>
    <w:p>
      <w:pPr>
        <w:pStyle w:val="Compact"/>
      </w:pPr>
      <w:r>
        <w:t xml:space="preserve">Movilizados</w:t>
      </w:r>
    </w:p>
    <w:p>
      <w:pPr>
        <w:pStyle w:val="Compact"/>
      </w:pPr>
      <w:r>
        <w:t xml:space="preserve">55.7</w:t>
      </w:r>
    </w:p>
    <w:p>
      <w:pPr>
        <w:pStyle w:val="Compact"/>
      </w:pPr>
      <w:r>
        <w:t xml:space="preserve">43.6</w:t>
      </w:r>
    </w:p>
    <w:p>
      <w:pPr>
        <w:pStyle w:val="Compact"/>
      </w:pPr>
      <w:r>
        <w:t xml:space="preserve">Institucionales</w:t>
      </w:r>
    </w:p>
    <w:p>
      <w:pPr>
        <w:pStyle w:val="Compact"/>
      </w:pPr>
      <w:r>
        <w:t xml:space="preserve">23.5</w:t>
      </w:r>
    </w:p>
    <w:p>
      <w:pPr>
        <w:pStyle w:val="Compact"/>
      </w:pPr>
      <w:r>
        <w:t xml:space="preserve">34.1</w:t>
      </w:r>
    </w:p>
    <w:p>
      <w:pPr>
        <w:pStyle w:val="Compact"/>
      </w:pPr>
      <w:r>
        <w:t xml:space="preserve">Atomizado</w:t>
      </w:r>
    </w:p>
    <w:p>
      <w:pPr>
        <w:pStyle w:val="Compact"/>
      </w:pPr>
      <w:r>
        <w:t xml:space="preserve">20.8</w:t>
      </w:r>
    </w:p>
    <w:p>
      <w:pPr>
        <w:pStyle w:val="Compact"/>
      </w:pPr>
      <w:r>
        <w:t xml:space="preserve">22.3</w:t>
      </w:r>
    </w:p>
    <w:p>
      <w:pPr>
        <w:pStyle w:val="Compact"/>
      </w:pPr>
      <w:r>
        <w:t xml:space="preserve">N=100%</w:t>
      </w:r>
    </w:p>
    <w:p>
      <w:pPr>
        <w:pStyle w:val="Compact"/>
      </w:pPr>
      <w:r>
        <w:t xml:space="preserve">592.0</w:t>
      </w:r>
    </w:p>
    <w:p>
      <w:pPr>
        <w:pStyle w:val="Compact"/>
      </w:pPr>
      <w:r>
        <w:t xml:space="preserve">314.0</w:t>
      </w:r>
    </w:p>
    <w:p>
      <w:pPr>
        <w:pStyle w:val="Textoindependiente"/>
      </w:pPr>
      <w:r>
        <w:t xml:space="preserve">En la Tabla</w:t>
      </w:r>
      <w:r>
        <w:t xml:space="preserve"> </w:t>
      </w:r>
      <w:r>
        <w:t xml:space="preserve">3.2</w:t>
      </w:r>
      <w:r>
        <w:t xml:space="preserve"> </w:t>
      </w:r>
      <w:r>
        <w:t xml:space="preserve">se muestra que el empleo formal incrementa la probabilidad de cohesión horizontal, mientras que el informal se encuentra más asociado con la cohesión vertical. Mientras que el empleo formal se asocia con solidaridad, participación cívica y respeto de la diversidad, el empleo informal resalta la identificación nacional y el esfuerzo individual.</w:t>
      </w:r>
    </w:p>
    <w:p>
      <w:pPr>
        <w:pStyle w:val="Ttulo3"/>
      </w:pPr>
      <w:bookmarkStart w:id="98" w:name="inclusión-social"/>
      <w:r>
        <w:t xml:space="preserve">3.3.2	Inclusión social</w:t>
      </w:r>
      <w:bookmarkEnd w:id="98"/>
    </w:p>
    <w:p>
      <w:pPr>
        <w:pStyle w:val="FirstParagraph"/>
      </w:pPr>
      <w:r>
        <w:t xml:space="preserve">Hay diversas dimensiones en las brechas de participación en las condiciones de vida que una sociedad ofrece a sus integrantes.</w:t>
      </w:r>
    </w:p>
    <w:p>
      <w:pPr>
        <w:pStyle w:val="Compact"/>
        <w:numPr>
          <w:numId w:val="1018"/>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Compact"/>
      </w:pPr>
      <w:r>
        <w:t xml:space="preserve">Tabla 3.3: Efecto de la edad sobre las clases de cohesion social</w:t>
      </w:r>
    </w:p>
    <w:p>
      <w:pPr>
        <w:pStyle w:val="Compact"/>
      </w:pPr>
      <w:r>
        <w:t xml:space="preserve">Grupos de edad</w:t>
      </w:r>
    </w:p>
    <w:p>
      <w:pPr>
        <w:pStyle w:val="Compact"/>
      </w:pPr>
      <w:r>
        <w:t xml:space="preserve">Clases de cohesión social</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Movilizados</w:t>
      </w:r>
    </w:p>
    <w:p>
      <w:pPr>
        <w:pStyle w:val="Compact"/>
      </w:pPr>
      <w:r>
        <w:t xml:space="preserve">66.3</w:t>
      </w:r>
    </w:p>
    <w:p>
      <w:pPr>
        <w:pStyle w:val="Compact"/>
      </w:pPr>
      <w:r>
        <w:t xml:space="preserve">57.0</w:t>
      </w:r>
    </w:p>
    <w:p>
      <w:pPr>
        <w:pStyle w:val="Compact"/>
      </w:pPr>
      <w:r>
        <w:t xml:space="preserve">49.6</w:t>
      </w:r>
    </w:p>
    <w:p>
      <w:pPr>
        <w:pStyle w:val="Compact"/>
      </w:pPr>
      <w:r>
        <w:t xml:space="preserve">39.7</w:t>
      </w:r>
    </w:p>
    <w:p>
      <w:pPr>
        <w:pStyle w:val="Compact"/>
      </w:pPr>
      <w:r>
        <w:t xml:space="preserve">21.8</w:t>
      </w:r>
    </w:p>
    <w:p>
      <w:pPr>
        <w:pStyle w:val="Compact"/>
      </w:pPr>
      <w:r>
        <w:t xml:space="preserve">Institucionales</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Atomizado</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21.0</w:t>
      </w:r>
    </w:p>
    <w:p>
      <w:pPr>
        <w:pStyle w:val="Compact"/>
      </w:pPr>
      <w:r>
        <w:t xml:space="preserve">N=100%</w:t>
      </w:r>
    </w:p>
    <w:p>
      <w:pPr>
        <w:pStyle w:val="Compact"/>
      </w:pPr>
      <w:r>
        <w:t xml:space="preserve">175.0</w:t>
      </w:r>
    </w:p>
    <w:p>
      <w:pPr>
        <w:pStyle w:val="Compact"/>
      </w:pPr>
      <w:r>
        <w:t xml:space="preserve">286.0</w:t>
      </w:r>
    </w:p>
    <w:p>
      <w:pPr>
        <w:pStyle w:val="Compact"/>
      </w:pPr>
      <w:r>
        <w:t xml:space="preserve">264.0</w:t>
      </w:r>
    </w:p>
    <w:p>
      <w:pPr>
        <w:pStyle w:val="Compact"/>
      </w:pPr>
      <w:r>
        <w:t xml:space="preserve">375.0</w:t>
      </w:r>
    </w:p>
    <w:p>
      <w:pPr>
        <w:pStyle w:val="Compact"/>
      </w:pPr>
      <w:r>
        <w:t xml:space="preserve">390.0</w:t>
      </w:r>
    </w:p>
    <w:p>
      <w:pPr>
        <w:pStyle w:val="Textoindependiente"/>
      </w:pPr>
      <w:r>
        <w:t xml:space="preserve">El perfil de cohesión horizontal es más probable de encontrar en edades más jóvenes, disminuyendo de manera sostenida a medida que se incrementa la edad. Lo contrario ocurre con la cohesión vertical, que es más probable de aparecer a medida que aumenta la edad. Aunque los datos corresponden a un panel, por el breve periodo que cubre, no es posible establecer si este efecto se debe al paso del tiempo o corresponde a efectos de tipo generacional.</w:t>
      </w:r>
    </w:p>
    <w:p>
      <w:pPr>
        <w:pStyle w:val="Compact"/>
        <w:numPr>
          <w:numId w:val="1019"/>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Tabla 3.4: Efecto del sexo sobre las clases de cohesion social</w:t>
      </w:r>
    </w:p>
    <w:p>
      <w:pPr>
        <w:pStyle w:val="Compact"/>
      </w:pPr>
      <w:r>
        <w:t xml:space="preserve">Sexo</w:t>
      </w:r>
    </w:p>
    <w:p>
      <w:pPr>
        <w:pStyle w:val="Compact"/>
      </w:pPr>
      <w:r>
        <w:t xml:space="preserve">Clases de cohesión social</w:t>
      </w:r>
    </w:p>
    <w:p>
      <w:pPr>
        <w:pStyle w:val="Compact"/>
      </w:pPr>
      <w:r>
        <w:t xml:space="preserve">Hombre</w:t>
      </w:r>
    </w:p>
    <w:p>
      <w:pPr>
        <w:pStyle w:val="Compact"/>
      </w:pPr>
      <w:r>
        <w:t xml:space="preserve">Mujer</w:t>
      </w:r>
    </w:p>
    <w:p>
      <w:pPr>
        <w:pStyle w:val="Compact"/>
      </w:pPr>
      <w:r>
        <w:t xml:space="preserve">Movilizados</w:t>
      </w:r>
    </w:p>
    <w:p>
      <w:pPr>
        <w:pStyle w:val="Compact"/>
      </w:pPr>
      <w:r>
        <w:t xml:space="preserve">47.7</w:t>
      </w:r>
    </w:p>
    <w:p>
      <w:pPr>
        <w:pStyle w:val="Compact"/>
      </w:pPr>
      <w:r>
        <w:t xml:space="preserve">40.8</w:t>
      </w:r>
    </w:p>
    <w:p>
      <w:pPr>
        <w:pStyle w:val="Compact"/>
      </w:pPr>
      <w:r>
        <w:t xml:space="preserve">Institucionales</w:t>
      </w:r>
    </w:p>
    <w:p>
      <w:pPr>
        <w:pStyle w:val="Compact"/>
      </w:pPr>
      <w:r>
        <w:t xml:space="preserve">31.7</w:t>
      </w:r>
    </w:p>
    <w:p>
      <w:pPr>
        <w:pStyle w:val="Compact"/>
      </w:pPr>
      <w:r>
        <w:t xml:space="preserve">33.0</w:t>
      </w:r>
    </w:p>
    <w:p>
      <w:pPr>
        <w:pStyle w:val="Compact"/>
      </w:pPr>
      <w:r>
        <w:t xml:space="preserve">Atomizado</w:t>
      </w:r>
    </w:p>
    <w:p>
      <w:pPr>
        <w:pStyle w:val="Compact"/>
      </w:pPr>
      <w:r>
        <w:t xml:space="preserve">20.6</w:t>
      </w:r>
    </w:p>
    <w:p>
      <w:pPr>
        <w:pStyle w:val="Compact"/>
      </w:pPr>
      <w:r>
        <w:t xml:space="preserve">26.2</w:t>
      </w:r>
    </w:p>
    <w:p>
      <w:pPr>
        <w:pStyle w:val="Compact"/>
      </w:pPr>
      <w:r>
        <w:t xml:space="preserve">N=100%</w:t>
      </w:r>
    </w:p>
    <w:p>
      <w:pPr>
        <w:pStyle w:val="Compact"/>
      </w:pPr>
      <w:r>
        <w:t xml:space="preserve">520.0</w:t>
      </w:r>
    </w:p>
    <w:p>
      <w:pPr>
        <w:pStyle w:val="Compact"/>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horizontal, mientras que entre las mujeres destaca su mayor propensión a la atomización. No hay diferencias notorias entre hombres y mujeres en el perfil de cohesión vertical. El perfil de cohesión que caracteriza a las mujeres, si bien no es predominante entre ellas, revela que este grupo se encuentra alejado de la cohesión en cualquiera de sus dimensiones. Una parte de ello puede asociarse, posiblemente, con la menor participación laboral y menor participación en el espacio público.</w:t>
      </w:r>
    </w:p>
    <w:p>
      <w:pPr>
        <w:pStyle w:val="Compact"/>
        <w:numPr>
          <w:numId w:val="1020"/>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 La educación está clasificada en cuatro grupos: Menos que enseñanza media, Enseñanza media Completa, técnica y universitaria.</w:t>
      </w:r>
    </w:p>
    <w:p>
      <w:pPr>
        <w:pStyle w:val="Compact"/>
      </w:pPr>
      <w:r>
        <w:t xml:space="preserve">Tabla 3.5: Efecto de la educacion sobre las clases de cohesion social</w:t>
      </w:r>
    </w:p>
    <w:p>
      <w:pPr>
        <w:pStyle w:val="Compact"/>
      </w:pPr>
      <w:r>
        <w:t xml:space="preserve">Nivel educacional</w:t>
      </w:r>
    </w:p>
    <w:p>
      <w:pPr>
        <w:pStyle w:val="Compact"/>
      </w:pPr>
      <w:r>
        <w:t xml:space="preserve">Clases de cohesión social</w:t>
      </w:r>
    </w:p>
    <w:p>
      <w:pPr>
        <w:pStyle w:val="Compact"/>
      </w:pPr>
      <w:r>
        <w:t xml:space="preserve">Menos que media completa</w:t>
      </w:r>
    </w:p>
    <w:p>
      <w:pPr>
        <w:pStyle w:val="Compact"/>
      </w:pPr>
      <w:r>
        <w:t xml:space="preserve">Media completa</w:t>
      </w:r>
    </w:p>
    <w:p>
      <w:pPr>
        <w:pStyle w:val="Compact"/>
      </w:pPr>
      <w:r>
        <w:t xml:space="preserve">Educacion tecnica superior</w:t>
      </w:r>
    </w:p>
    <w:p>
      <w:pPr>
        <w:pStyle w:val="Compact"/>
      </w:pPr>
      <w:r>
        <w:t xml:space="preserve">Educacion universitaria o Postgrado</w:t>
      </w:r>
    </w:p>
    <w:p>
      <w:pPr>
        <w:pStyle w:val="Compact"/>
      </w:pPr>
      <w:r>
        <w:t xml:space="preserve">Movilizados</w:t>
      </w:r>
    </w:p>
    <w:p>
      <w:pPr>
        <w:pStyle w:val="Compact"/>
      </w:pPr>
      <w:r>
        <w:t xml:space="preserve">21.2</w:t>
      </w:r>
    </w:p>
    <w:p>
      <w:pPr>
        <w:pStyle w:val="Compact"/>
      </w:pPr>
      <w:r>
        <w:t xml:space="preserve">44.4</w:t>
      </w:r>
    </w:p>
    <w:p>
      <w:pPr>
        <w:pStyle w:val="Compact"/>
      </w:pPr>
      <w:r>
        <w:t xml:space="preserve">57.1</w:t>
      </w:r>
    </w:p>
    <w:p>
      <w:pPr>
        <w:pStyle w:val="Compact"/>
      </w:pPr>
      <w:r>
        <w:t xml:space="preserve">72.7</w:t>
      </w:r>
    </w:p>
    <w:p>
      <w:pPr>
        <w:pStyle w:val="Compact"/>
      </w:pPr>
      <w:r>
        <w:t xml:space="preserve">Institucionales</w:t>
      </w:r>
    </w:p>
    <w:p>
      <w:pPr>
        <w:pStyle w:val="Compact"/>
      </w:pPr>
      <w:r>
        <w:t xml:space="preserve">50.0</w:t>
      </w:r>
    </w:p>
    <w:p>
      <w:pPr>
        <w:pStyle w:val="Compact"/>
      </w:pPr>
      <w:r>
        <w:t xml:space="preserve">27.9</w:t>
      </w:r>
    </w:p>
    <w:p>
      <w:pPr>
        <w:pStyle w:val="Compact"/>
      </w:pPr>
      <w:r>
        <w:t xml:space="preserve">21.4</w:t>
      </w:r>
    </w:p>
    <w:p>
      <w:pPr>
        <w:pStyle w:val="Compact"/>
      </w:pPr>
      <w:r>
        <w:t xml:space="preserve">15.9</w:t>
      </w:r>
    </w:p>
    <w:p>
      <w:pPr>
        <w:pStyle w:val="Compact"/>
      </w:pPr>
      <w:r>
        <w:t xml:space="preserve">Atomizado</w:t>
      </w:r>
    </w:p>
    <w:p>
      <w:pPr>
        <w:pStyle w:val="Compact"/>
      </w:pPr>
      <w:r>
        <w:t xml:space="preserve">28.8</w:t>
      </w:r>
    </w:p>
    <w:p>
      <w:pPr>
        <w:pStyle w:val="Compact"/>
      </w:pPr>
      <w:r>
        <w:t xml:space="preserve">27.7</w:t>
      </w:r>
    </w:p>
    <w:p>
      <w:pPr>
        <w:pStyle w:val="Compact"/>
      </w:pPr>
      <w:r>
        <w:t xml:space="preserve">21.4</w:t>
      </w:r>
    </w:p>
    <w:p>
      <w:pPr>
        <w:pStyle w:val="Compact"/>
      </w:pPr>
      <w:r>
        <w:t xml:space="preserve">11.4</w:t>
      </w:r>
    </w:p>
    <w:p>
      <w:pPr>
        <w:pStyle w:val="Compact"/>
      </w:pPr>
      <w:r>
        <w:t xml:space="preserve">N=100%</w:t>
      </w:r>
    </w:p>
    <w:p>
      <w:pPr>
        <w:pStyle w:val="Compact"/>
      </w:pPr>
      <w:r>
        <w:t xml:space="preserve">528.0</w:t>
      </w:r>
    </w:p>
    <w:p>
      <w:pPr>
        <w:pStyle w:val="Compact"/>
      </w:pPr>
      <w:r>
        <w:t xml:space="preserve">459.0</w:t>
      </w:r>
    </w:p>
    <w:p>
      <w:pPr>
        <w:pStyle w:val="Compact"/>
      </w:pPr>
      <w:r>
        <w:t xml:space="preserve">238.0</w:t>
      </w:r>
    </w:p>
    <w:p>
      <w:pPr>
        <w:pStyle w:val="Compact"/>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horizontal se incrementa junto con el nivel educacional, alcanzando 72.7% entre quienes cuentan con educación universitaria. Por contraste, el perfil de cohesión vertical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horizontal y reduce las tendencias a la atomización.</w:t>
      </w:r>
    </w:p>
    <w:p>
      <w:pPr>
        <w:pStyle w:val="Compact"/>
        <w:numPr>
          <w:numId w:val="1021"/>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9">
        <w:r>
          <w:rPr>
            <w:rStyle w:val="Hipervnculo"/>
          </w:rPr>
          <w:t xml:space="preserve">ver informe Clases medias en tiempos de crisis</w:t>
        </w:r>
      </w:hyperlink>
      <w:r>
        <w:t xml:space="preserve">.</w:t>
      </w:r>
    </w:p>
    <w:p>
      <w:pPr>
        <w:pStyle w:val="Compact"/>
      </w:pPr>
      <w:r>
        <w:t xml:space="preserve">Tabla 3.6: Efecto de los quintiles de ingreso sobre las clases de cohesion social</w:t>
      </w:r>
    </w:p>
    <w:p>
      <w:pPr>
        <w:pStyle w:val="Compact"/>
      </w:pPr>
      <w:r>
        <w:t xml:space="preserve">Quintiles de ingresos</w:t>
      </w:r>
    </w:p>
    <w:p>
      <w:pPr>
        <w:pStyle w:val="Compact"/>
      </w:pPr>
      <w:r>
        <w:t xml:space="preserve">Clases de cohesión social</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Movilizados</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Institucionales</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Atomizado</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N=100%</w:t>
      </w:r>
    </w:p>
    <w:p>
      <w:pPr>
        <w:pStyle w:val="Compact"/>
      </w:pPr>
      <w:r>
        <w:t xml:space="preserve">286.0</w:t>
      </w:r>
    </w:p>
    <w:p>
      <w:pPr>
        <w:pStyle w:val="Compact"/>
      </w:pPr>
      <w:r>
        <w:t xml:space="preserve">286.0</w:t>
      </w:r>
    </w:p>
    <w:p>
      <w:pPr>
        <w:pStyle w:val="Compact"/>
      </w:pPr>
      <w:r>
        <w:t xml:space="preserve">284.0</w:t>
      </w:r>
    </w:p>
    <w:p>
      <w:pPr>
        <w:pStyle w:val="Compact"/>
      </w:pPr>
      <w:r>
        <w:t xml:space="preserve">285.0</w:t>
      </w:r>
    </w:p>
    <w:p>
      <w:pPr>
        <w:pStyle w:val="Compact"/>
      </w:pPr>
      <w:r>
        <w:t xml:space="preserve">285.0</w:t>
      </w:r>
    </w:p>
    <w:p>
      <w:pPr>
        <w:pStyle w:val="Textoindependiente"/>
      </w:pPr>
      <w:r>
        <w:t xml:space="preserve">La Tabla</w:t>
      </w:r>
      <w:r>
        <w:t xml:space="preserve"> </w:t>
      </w:r>
      <w:r>
        <w:t xml:space="preserve">3.6</w:t>
      </w:r>
      <w:r>
        <w:t xml:space="preserve"> </w:t>
      </w:r>
      <w:r>
        <w:t xml:space="preserve">indica que los efectos del ingreso muestran que la asociación con la cohesión horizontal se incrementa junto con el ingreso, mientras que la cohesión institucional vertical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numPr>
          <w:numId w:val="1022"/>
          <w:ilvl w:val="0"/>
        </w:numPr>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22"/>
          <w:ilvl w:val="0"/>
        </w:numPr>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FirstParagraph"/>
      </w:pPr>
      <w:r>
        <w:t xml:space="preserve">La literatura sobre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 (Garretón et al 2021).</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dispersión están representados por el cuartil 4. El gráfico muestra el 25% de entrevistados que se encuentran en barrios de mayor dispersión educativa.</w:t>
      </w:r>
    </w:p>
    <w:p>
      <w:pPr>
        <w:pStyle w:val="Compact"/>
      </w:pPr>
      <w:r>
        <w:t xml:space="preserve">Tabla 3.7: Efecto del promedio de escolaridad del barrio sobre las clases de cohesion social</w:t>
      </w:r>
    </w:p>
    <w:p>
      <w:pPr>
        <w:pStyle w:val="Compact"/>
      </w:pPr>
      <w:r>
        <w:t xml:space="preserve">Promedio de años de escolaridad sostenedor del hogar (sd)</w:t>
      </w:r>
    </w:p>
    <w:p>
      <w:pPr>
        <w:pStyle w:val="Compact"/>
      </w:pPr>
      <w:r>
        <w:t xml:space="preserve">Clases de cohesión social</w:t>
      </w:r>
    </w:p>
    <w:p>
      <w:pPr>
        <w:pStyle w:val="Compact"/>
      </w:pPr>
      <w:r>
        <w:t xml:space="preserve">Menor escolaridad</w:t>
      </w:r>
    </w:p>
    <w:p>
      <w:pPr>
        <w:pStyle w:val="Compact"/>
      </w:pPr>
      <w:r>
        <w:t xml:space="preserve">Alta escolaridad</w:t>
      </w:r>
    </w:p>
    <w:p>
      <w:pPr>
        <w:pStyle w:val="Compact"/>
      </w:pPr>
      <w:r>
        <w:t xml:space="preserve">Movilizados</w:t>
      </w:r>
    </w:p>
    <w:p>
      <w:pPr>
        <w:pStyle w:val="Compact"/>
      </w:pPr>
      <w:r>
        <w:t xml:space="preserve">44.3</w:t>
      </w:r>
    </w:p>
    <w:p>
      <w:pPr>
        <w:pStyle w:val="Compact"/>
      </w:pPr>
      <w:r>
        <w:t xml:space="preserve">39.9</w:t>
      </w:r>
    </w:p>
    <w:p>
      <w:pPr>
        <w:pStyle w:val="Compact"/>
      </w:pPr>
      <w:r>
        <w:t xml:space="preserve">Institucionales</w:t>
      </w:r>
    </w:p>
    <w:p>
      <w:pPr>
        <w:pStyle w:val="Compact"/>
      </w:pPr>
      <w:r>
        <w:t xml:space="preserve">28.6</w:t>
      </w:r>
    </w:p>
    <w:p>
      <w:pPr>
        <w:pStyle w:val="Compact"/>
      </w:pPr>
      <w:r>
        <w:t xml:space="preserve">44.2</w:t>
      </w:r>
    </w:p>
    <w:p>
      <w:pPr>
        <w:pStyle w:val="Compact"/>
      </w:pPr>
      <w:r>
        <w:t xml:space="preserve">Atomizado</w:t>
      </w:r>
    </w:p>
    <w:p>
      <w:pPr>
        <w:pStyle w:val="Compact"/>
      </w:pPr>
      <w:r>
        <w:t xml:space="preserve">27.0</w:t>
      </w:r>
    </w:p>
    <w:p>
      <w:pPr>
        <w:pStyle w:val="Compact"/>
      </w:pPr>
      <w:r>
        <w:t xml:space="preserve">15.9</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La mayor dispersión educativa en los barrios se encuentra asociada con un perfil de cohesión vertical, mientras que la menor dispersión se encuentra asociada tanto con la cohesión horizontal como con la cohesión. Los resultados pueden interpretarse en términos de segregación residencial. Los respondentes que corresponden al perfil de cohesión horizontal son hombres, de mayor escolaridad, con empleos formales e ingresos relativamente altos. La asociación de la cohesión horizontal con barrios menos diversos parece asociarse con la segregación socioeconómica de la ciudad. De forma similar, el perfil atomizado también se presenta en barrios homogéneos en términos educativos, en este caso con bajos niveles. La mixidad educacional del barrio se asocia con más probabilidad a un perfil de cohesión vertical.</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horizontal. El barrio debiera reforzar este efecto.</w:t>
      </w:r>
    </w:p>
    <w:p>
      <w:pPr>
        <w:pStyle w:val="Compact"/>
      </w:pPr>
      <w:r>
        <w:t xml:space="preserve">Tabla 3.8: Efecto de la cantidad de trabajadores ocupados sobre las clases de cohesion social</w:t>
      </w:r>
    </w:p>
    <w:p>
      <w:pPr>
        <w:pStyle w:val="Compact"/>
      </w:pPr>
      <w:r>
        <w:t xml:space="preserve">Cantidad de trabajadores ocupados</w:t>
      </w:r>
    </w:p>
    <w:p>
      <w:pPr>
        <w:pStyle w:val="Compact"/>
      </w:pPr>
      <w:r>
        <w:t xml:space="preserve">Clases de cohesión social</w:t>
      </w:r>
    </w:p>
    <w:p>
      <w:pPr>
        <w:pStyle w:val="Compact"/>
      </w:pPr>
      <w:r>
        <w:t xml:space="preserve">Menor cantidad de ocupados</w:t>
      </w:r>
    </w:p>
    <w:p>
      <w:pPr>
        <w:pStyle w:val="Compact"/>
      </w:pPr>
      <w:r>
        <w:t xml:space="preserve">Alta cantidad de ocupados</w:t>
      </w:r>
    </w:p>
    <w:p>
      <w:pPr>
        <w:pStyle w:val="Compact"/>
      </w:pPr>
      <w:r>
        <w:t xml:space="preserve">Movilizados</w:t>
      </w:r>
    </w:p>
    <w:p>
      <w:pPr>
        <w:pStyle w:val="Compact"/>
      </w:pPr>
      <w:r>
        <w:t xml:space="preserve">41.9</w:t>
      </w:r>
    </w:p>
    <w:p>
      <w:pPr>
        <w:pStyle w:val="Compact"/>
      </w:pPr>
      <w:r>
        <w:t xml:space="preserve">47.2</w:t>
      </w:r>
    </w:p>
    <w:p>
      <w:pPr>
        <w:pStyle w:val="Compact"/>
      </w:pPr>
      <w:r>
        <w:t xml:space="preserve">Institucionales</w:t>
      </w:r>
    </w:p>
    <w:p>
      <w:pPr>
        <w:pStyle w:val="Compact"/>
      </w:pPr>
      <w:r>
        <w:t xml:space="preserve">35.5</w:t>
      </w:r>
    </w:p>
    <w:p>
      <w:pPr>
        <w:pStyle w:val="Compact"/>
      </w:pPr>
      <w:r>
        <w:t xml:space="preserve">23.7</w:t>
      </w:r>
    </w:p>
    <w:p>
      <w:pPr>
        <w:pStyle w:val="Compact"/>
      </w:pPr>
      <w:r>
        <w:t xml:space="preserve">Atomizado</w:t>
      </w:r>
    </w:p>
    <w:p>
      <w:pPr>
        <w:pStyle w:val="Compact"/>
      </w:pPr>
      <w:r>
        <w:t xml:space="preserve">22.6</w:t>
      </w:r>
    </w:p>
    <w:p>
      <w:pPr>
        <w:pStyle w:val="Compact"/>
      </w:pPr>
      <w:r>
        <w:t xml:space="preserve">29.1</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En barrios con mayor porcentaje de ocupados también se aprecia esta asociación. La cohesión vertical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La carga de los inactivos condiciona en gran medida las posibilidades de progreso de los hogares. La Tabla</w:t>
      </w:r>
      <w:r>
        <w:t xml:space="preserve"> </w:t>
      </w:r>
      <w:r>
        <w:t xml:space="preserve">3.9</w:t>
      </w:r>
      <w:r>
        <w:t xml:space="preserve"> </w:t>
      </w:r>
      <w:r>
        <w:t xml:space="preserve">presenta la dispersión del porcentaje de inactivos segmentando por cuartiles. Este indicador, al igual que los dos anteriores, está calculado a partir de la zona censal del CENSO 2017..</w:t>
      </w:r>
    </w:p>
    <w:p>
      <w:pPr>
        <w:pStyle w:val="Compact"/>
      </w:pPr>
      <w:r>
        <w:t xml:space="preserve">Tabla 3.9: Efecto de la cantidad de personas inactivas sobre las clases de cohesion social</w:t>
      </w:r>
    </w:p>
    <w:p>
      <w:pPr>
        <w:pStyle w:val="Compact"/>
      </w:pPr>
      <w:r>
        <w:t xml:space="preserve">Cantidad de trabajadores inactivos</w:t>
      </w:r>
    </w:p>
    <w:p>
      <w:pPr>
        <w:pStyle w:val="Compact"/>
      </w:pPr>
      <w:r>
        <w:t xml:space="preserve">Clases de cohesión social</w:t>
      </w:r>
    </w:p>
    <w:p>
      <w:pPr>
        <w:pStyle w:val="Compact"/>
      </w:pPr>
      <w:r>
        <w:t xml:space="preserve">Menor cantidad de inactivos</w:t>
      </w:r>
    </w:p>
    <w:p>
      <w:pPr>
        <w:pStyle w:val="Compact"/>
      </w:pPr>
      <w:r>
        <w:t xml:space="preserve">Alta cantidad de inactivos</w:t>
      </w:r>
    </w:p>
    <w:p>
      <w:pPr>
        <w:pStyle w:val="Compact"/>
      </w:pPr>
      <w:r>
        <w:t xml:space="preserve">Movilizados</w:t>
      </w:r>
    </w:p>
    <w:p>
      <w:pPr>
        <w:pStyle w:val="Compact"/>
      </w:pPr>
      <w:r>
        <w:t xml:space="preserve">43.4</w:t>
      </w:r>
    </w:p>
    <w:p>
      <w:pPr>
        <w:pStyle w:val="Compact"/>
      </w:pPr>
      <w:r>
        <w:t xml:space="preserve">42.7</w:t>
      </w:r>
    </w:p>
    <w:p>
      <w:pPr>
        <w:pStyle w:val="Compact"/>
      </w:pPr>
      <w:r>
        <w:t xml:space="preserve">Institucionales</w:t>
      </w:r>
    </w:p>
    <w:p>
      <w:pPr>
        <w:pStyle w:val="Compact"/>
      </w:pPr>
      <w:r>
        <w:t xml:space="preserve">32.5</w:t>
      </w:r>
    </w:p>
    <w:p>
      <w:pPr>
        <w:pStyle w:val="Compact"/>
      </w:pPr>
      <w:r>
        <w:t xml:space="preserve">32.5</w:t>
      </w:r>
    </w:p>
    <w:p>
      <w:pPr>
        <w:pStyle w:val="Compact"/>
      </w:pPr>
      <w:r>
        <w:t xml:space="preserve">Atomizado</w:t>
      </w:r>
    </w:p>
    <w:p>
      <w:pPr>
        <w:pStyle w:val="Compact"/>
      </w:pPr>
      <w:r>
        <w:t xml:space="preserve">24.1</w:t>
      </w:r>
    </w:p>
    <w:p>
      <w:pPr>
        <w:pStyle w:val="Compact"/>
      </w:pPr>
      <w:r>
        <w:t xml:space="preserve">24.7</w:t>
      </w:r>
    </w:p>
    <w:p>
      <w:pPr>
        <w:pStyle w:val="Compact"/>
      </w:pPr>
      <w:r>
        <w:t xml:space="preserve">N=100%</w:t>
      </w:r>
    </w:p>
    <w:p>
      <w:pPr>
        <w:pStyle w:val="Compact"/>
      </w:pPr>
      <w:r>
        <w:t xml:space="preserve">1116.0</w:t>
      </w:r>
    </w:p>
    <w:p>
      <w:pPr>
        <w:pStyle w:val="Compact"/>
      </w:pPr>
      <w:r>
        <w:t xml:space="preserve">372.0</w:t>
      </w:r>
    </w:p>
    <w:p>
      <w:pPr>
        <w:pStyle w:val="Textoindependiente"/>
      </w:pPr>
      <w:r>
        <w:t xml:space="preserve">No hay efectos de los inactivos en el barrio sobre los perfiles de cohesión social. #considerar eliminar#</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3.10</w:t>
      </w:r>
      <w:r>
        <w:t xml:space="preserve"> </w:t>
      </w:r>
      <w:r>
        <w:t xml:space="preserve">presenta la dispersión de los trabajadores que buscan empleo en el barrio del respondente, segmentada por cuartiles y que está calculado a partir de la zona censal del CENSO 2017.</w:t>
      </w:r>
    </w:p>
    <w:p>
      <w:pPr>
        <w:pStyle w:val="Compact"/>
      </w:pPr>
      <w:r>
        <w:t xml:space="preserve">Tabla 3.10: Efecto de la cantidad de trabajadores cesantes sobre las clases de cohesion social</w:t>
      </w:r>
    </w:p>
    <w:p>
      <w:pPr>
        <w:pStyle w:val="Compact"/>
      </w:pPr>
      <w:r>
        <w:t xml:space="preserve">Cantidad de trabajadores buscando empleo</w:t>
      </w:r>
    </w:p>
    <w:p>
      <w:pPr>
        <w:pStyle w:val="Compact"/>
      </w:pPr>
      <w:r>
        <w:t xml:space="preserve">Clases de cohesión social</w:t>
      </w:r>
    </w:p>
    <w:p>
      <w:pPr>
        <w:pStyle w:val="Compact"/>
      </w:pPr>
      <w:r>
        <w:t xml:space="preserve">Menor cantidad de cesantes</w:t>
      </w:r>
    </w:p>
    <w:p>
      <w:pPr>
        <w:pStyle w:val="Compact"/>
      </w:pPr>
      <w:r>
        <w:t xml:space="preserve">Alta cantidad de cesantes</w:t>
      </w:r>
    </w:p>
    <w:p>
      <w:pPr>
        <w:pStyle w:val="Compact"/>
      </w:pPr>
      <w:r>
        <w:t xml:space="preserve">Movilizados</w:t>
      </w:r>
    </w:p>
    <w:p>
      <w:pPr>
        <w:pStyle w:val="Compact"/>
      </w:pPr>
      <w:r>
        <w:t xml:space="preserve">43.7</w:t>
      </w:r>
    </w:p>
    <w:p>
      <w:pPr>
        <w:pStyle w:val="Compact"/>
      </w:pPr>
      <w:r>
        <w:t xml:space="preserve">41.8</w:t>
      </w:r>
    </w:p>
    <w:p>
      <w:pPr>
        <w:pStyle w:val="Compact"/>
      </w:pPr>
      <w:r>
        <w:t xml:space="preserve">Institucionales</w:t>
      </w:r>
    </w:p>
    <w:p>
      <w:pPr>
        <w:pStyle w:val="Compact"/>
      </w:pPr>
      <w:r>
        <w:t xml:space="preserve">34.2</w:t>
      </w:r>
    </w:p>
    <w:p>
      <w:pPr>
        <w:pStyle w:val="Compact"/>
      </w:pPr>
      <w:r>
        <w:t xml:space="preserve">27.5</w:t>
      </w:r>
    </w:p>
    <w:p>
      <w:pPr>
        <w:pStyle w:val="Compact"/>
      </w:pPr>
      <w:r>
        <w:t xml:space="preserve">Atomizado</w:t>
      </w:r>
    </w:p>
    <w:p>
      <w:pPr>
        <w:pStyle w:val="Compact"/>
      </w:pPr>
      <w:r>
        <w:t xml:space="preserve">22.1</w:t>
      </w:r>
    </w:p>
    <w:p>
      <w:pPr>
        <w:pStyle w:val="Compact"/>
      </w:pPr>
      <w:r>
        <w:t xml:space="preserve">30.7</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vertical se encuentra con más probabildad en barrios con pocos desempleados.</w:t>
      </w:r>
    </w:p>
    <w:p>
      <w:pPr>
        <w:pStyle w:val="Compact"/>
        <w:numPr>
          <w:numId w:val="1023"/>
          <w:ilvl w:val="0"/>
        </w:numPr>
      </w:pPr>
      <w:r>
        <w:t xml:space="preserve">Acceso areas verdes en radio de 15 min a pie</w:t>
      </w:r>
    </w:p>
    <w:p>
      <w:pPr>
        <w:pStyle w:val="Compact"/>
      </w:pPr>
      <w:r>
        <w:t xml:space="preserve">Tabla 3.11: Distribucion de las clases de cohesion social por region</w:t>
      </w:r>
    </w:p>
    <w:p>
      <w:pPr>
        <w:pStyle w:val="Compact"/>
      </w:pPr>
      <w:r>
        <w:t xml:space="preserve">Acceso a areas verdes</w:t>
      </w:r>
    </w:p>
    <w:p>
      <w:pPr>
        <w:pStyle w:val="Compact"/>
      </w:pPr>
      <w:r>
        <w:t xml:space="preserve">Clases de cohesión social</w:t>
      </w:r>
    </w:p>
    <w:p>
      <w:pPr>
        <w:pStyle w:val="Compact"/>
      </w:pPr>
      <w:r>
        <w:t xml:space="preserve">Menor acceso a areas verdes</w:t>
      </w:r>
    </w:p>
    <w:p>
      <w:pPr>
        <w:pStyle w:val="Compact"/>
      </w:pPr>
      <w:r>
        <w:t xml:space="preserve">Alto acceso a areas verdes</w:t>
      </w:r>
    </w:p>
    <w:p>
      <w:pPr>
        <w:pStyle w:val="Compact"/>
      </w:pPr>
      <w:r>
        <w:t xml:space="preserve">Movilizados</w:t>
      </w:r>
    </w:p>
    <w:p>
      <w:pPr>
        <w:pStyle w:val="Compact"/>
      </w:pPr>
      <w:r>
        <w:t xml:space="preserve">46.4</w:t>
      </w:r>
    </w:p>
    <w:p>
      <w:pPr>
        <w:pStyle w:val="Compact"/>
      </w:pPr>
      <w:r>
        <w:t xml:space="preserve">43.8</w:t>
      </w:r>
    </w:p>
    <w:p>
      <w:pPr>
        <w:pStyle w:val="Compact"/>
      </w:pPr>
      <w:r>
        <w:t xml:space="preserve">Institucionales</w:t>
      </w:r>
    </w:p>
    <w:p>
      <w:pPr>
        <w:pStyle w:val="Compact"/>
      </w:pPr>
      <w:r>
        <w:t xml:space="preserve">27.4</w:t>
      </w:r>
    </w:p>
    <w:p>
      <w:pPr>
        <w:pStyle w:val="Compact"/>
      </w:pPr>
      <w:r>
        <w:t xml:space="preserve">33.1</w:t>
      </w:r>
    </w:p>
    <w:p>
      <w:pPr>
        <w:pStyle w:val="Compact"/>
      </w:pPr>
      <w:r>
        <w:t xml:space="preserve">Atomizado</w:t>
      </w:r>
    </w:p>
    <w:p>
      <w:pPr>
        <w:pStyle w:val="Compact"/>
      </w:pPr>
      <w:r>
        <w:t xml:space="preserve">26.2</w:t>
      </w:r>
    </w:p>
    <w:p>
      <w:pPr>
        <w:pStyle w:val="Compact"/>
      </w:pPr>
      <w:r>
        <w:t xml:space="preserve">23.1</w:t>
      </w:r>
    </w:p>
    <w:p>
      <w:pPr>
        <w:pStyle w:val="Compact"/>
      </w:pPr>
      <w:r>
        <w:t xml:space="preserve">N=100%</w:t>
      </w:r>
    </w:p>
    <w:p>
      <w:pPr>
        <w:pStyle w:val="Compact"/>
      </w:pPr>
      <w:r>
        <w:t xml:space="preserve">729.0</w:t>
      </w:r>
    </w:p>
    <w:p>
      <w:pPr>
        <w:pStyle w:val="Compact"/>
      </w:pPr>
      <w:r>
        <w:t xml:space="preserve">242.0</w:t>
      </w:r>
    </w:p>
    <w:p>
      <w:pPr>
        <w:pStyle w:val="Textoindependiente"/>
      </w:pPr>
      <w:r>
        <w:t xml:space="preserve">Accesibilidad de áreas verdes considerando e ajuste entre oferta (m2 de áreas verdes) y demanda (población) en un radio de 15 minutos a pie, a nivel de manzana (CIT).</w:t>
      </w:r>
    </w:p>
    <w:p>
      <w:pPr>
        <w:pStyle w:val="Textoindependiente"/>
      </w:pPr>
      <w:r>
        <w:t xml:space="preserve">No hay asociación significativa entre el acceso a áreas verdes y los perfiles de cohesión social. #considerar eliminar#</w:t>
      </w:r>
    </w:p>
    <w:p>
      <w:pPr>
        <w:pStyle w:val="Compact"/>
        <w:numPr>
          <w:numId w:val="1024"/>
          <w:ilvl w:val="0"/>
        </w:numPr>
      </w:pPr>
      <w:r>
        <w:t xml:space="preserve">Acceso a colegios en radio de 15 min a pie</w:t>
      </w:r>
    </w:p>
    <w:p>
      <w:pPr>
        <w:pStyle w:val="Compact"/>
      </w:pPr>
      <w:r>
        <w:t xml:space="preserve">Tabla 3.12: Efecto del acceso a colegios sobre las clases de cohesion social</w:t>
      </w:r>
    </w:p>
    <w:p>
      <w:pPr>
        <w:pStyle w:val="Compact"/>
      </w:pPr>
      <w:r>
        <w:t xml:space="preserve">Acceso a colegios</w:t>
      </w:r>
    </w:p>
    <w:p>
      <w:pPr>
        <w:pStyle w:val="Compact"/>
      </w:pPr>
      <w:r>
        <w:t xml:space="preserve">Clases de cohesión social</w:t>
      </w:r>
    </w:p>
    <w:p>
      <w:pPr>
        <w:pStyle w:val="Compact"/>
      </w:pPr>
      <w:r>
        <w:t xml:space="preserve">Menor acceso a colegios</w:t>
      </w:r>
    </w:p>
    <w:p>
      <w:pPr>
        <w:pStyle w:val="Compact"/>
      </w:pPr>
      <w:r>
        <w:t xml:space="preserve">Alto acceso a colegios</w:t>
      </w:r>
    </w:p>
    <w:p>
      <w:pPr>
        <w:pStyle w:val="Compact"/>
      </w:pPr>
      <w:r>
        <w:t xml:space="preserve">Movilizados</w:t>
      </w:r>
    </w:p>
    <w:p>
      <w:pPr>
        <w:pStyle w:val="Compact"/>
      </w:pPr>
      <w:r>
        <w:t xml:space="preserve">45.1</w:t>
      </w:r>
    </w:p>
    <w:p>
      <w:pPr>
        <w:pStyle w:val="Compact"/>
      </w:pPr>
      <w:r>
        <w:t xml:space="preserve">37.6</w:t>
      </w:r>
    </w:p>
    <w:p>
      <w:pPr>
        <w:pStyle w:val="Compact"/>
      </w:pPr>
      <w:r>
        <w:t xml:space="preserve">Institucionales</w:t>
      </w:r>
    </w:p>
    <w:p>
      <w:pPr>
        <w:pStyle w:val="Compact"/>
      </w:pPr>
      <w:r>
        <w:t xml:space="preserve">29.8</w:t>
      </w:r>
    </w:p>
    <w:p>
      <w:pPr>
        <w:pStyle w:val="Compact"/>
      </w:pPr>
      <w:r>
        <w:t xml:space="preserve">40.9</w:t>
      </w:r>
    </w:p>
    <w:p>
      <w:pPr>
        <w:pStyle w:val="Compact"/>
      </w:pPr>
      <w:r>
        <w:t xml:space="preserve">Atomizado</w:t>
      </w:r>
    </w:p>
    <w:p>
      <w:pPr>
        <w:pStyle w:val="Compact"/>
      </w:pPr>
      <w:r>
        <w:t xml:space="preserve">25.1</w:t>
      </w:r>
    </w:p>
    <w:p>
      <w:pPr>
        <w:pStyle w:val="Compact"/>
      </w:pPr>
      <w:r>
        <w:t xml:space="preserve">21.5</w:t>
      </w:r>
    </w:p>
    <w:p>
      <w:pPr>
        <w:pStyle w:val="Compact"/>
      </w:pPr>
      <w:r>
        <w:t xml:space="preserve">N=100%</w:t>
      </w:r>
    </w:p>
    <w:p>
      <w:pPr>
        <w:pStyle w:val="Compact"/>
      </w:pPr>
      <w:r>
        <w:t xml:space="preserve">1118.0</w:t>
      </w:r>
    </w:p>
    <w:p>
      <w:pPr>
        <w:pStyle w:val="Compact"/>
      </w:pPr>
      <w:r>
        <w:t xml:space="preserve">372.0</w:t>
      </w:r>
    </w:p>
    <w:p>
      <w:pPr>
        <w:pStyle w:val="Textoindependiente"/>
      </w:pPr>
      <w:r>
        <w:t xml:space="preserve">La Tabla</w:t>
      </w:r>
      <w:r>
        <w:t xml:space="preserve"> </w:t>
      </w:r>
      <w:r>
        <w:t xml:space="preserve">3.12</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 #aclarar el cálculo. Esto es difícil de interpretar#</w:t>
      </w:r>
    </w:p>
    <w:p>
      <w:pPr>
        <w:pStyle w:val="Textoindependiente"/>
      </w:pPr>
      <w:r>
        <w:t xml:space="preserve">Accesibilidad de colegios considerando el ajuste entre oferta (matriculas) y demanda (población en edad escolar) en un radio de 15 minutos a pie, a nivel de manzana (CIT).</w:t>
      </w:r>
    </w:p>
    <w:p>
      <w:pPr>
        <w:pStyle w:val="Compact"/>
        <w:numPr>
          <w:numId w:val="1025"/>
          <w:ilvl w:val="0"/>
        </w:numPr>
      </w:pPr>
      <w:r>
        <w:t xml:space="preserve">Acceso a servicios en radio de 15 min a pie #aclarar definición de servicios#</w:t>
      </w:r>
    </w:p>
    <w:p>
      <w:pPr>
        <w:pStyle w:val="Compact"/>
      </w:pPr>
      <w:r>
        <w:t xml:space="preserve">Tabla 3.13: Efecto del acceso a servicios y equipamientos publicos sobre las clases de cohesion social</w:t>
      </w:r>
    </w:p>
    <w:p>
      <w:pPr>
        <w:pStyle w:val="Compact"/>
      </w:pPr>
      <w:r>
        <w:t xml:space="preserve">Acceso a servicios publicos</w:t>
      </w:r>
    </w:p>
    <w:p>
      <w:pPr>
        <w:pStyle w:val="Compact"/>
      </w:pPr>
      <w:r>
        <w:t xml:space="preserve">Clases de cohesión social</w:t>
      </w:r>
    </w:p>
    <w:p>
      <w:pPr>
        <w:pStyle w:val="Compact"/>
      </w:pPr>
      <w:r>
        <w:t xml:space="preserve">Menor acceso a servicios</w:t>
      </w:r>
    </w:p>
    <w:p>
      <w:pPr>
        <w:pStyle w:val="Compact"/>
      </w:pPr>
      <w:r>
        <w:t xml:space="preserve">Alto acceso a servicios</w:t>
      </w:r>
    </w:p>
    <w:p>
      <w:pPr>
        <w:pStyle w:val="Compact"/>
      </w:pPr>
      <w:r>
        <w:t xml:space="preserve">Movilizados</w:t>
      </w:r>
    </w:p>
    <w:p>
      <w:pPr>
        <w:pStyle w:val="Compact"/>
      </w:pPr>
      <w:r>
        <w:t xml:space="preserve">43.2</w:t>
      </w:r>
    </w:p>
    <w:p>
      <w:pPr>
        <w:pStyle w:val="Compact"/>
      </w:pPr>
      <w:r>
        <w:t xml:space="preserve">53.3</w:t>
      </w:r>
    </w:p>
    <w:p>
      <w:pPr>
        <w:pStyle w:val="Compact"/>
      </w:pPr>
      <w:r>
        <w:t xml:space="preserve">Institucionales</w:t>
      </w:r>
    </w:p>
    <w:p>
      <w:pPr>
        <w:pStyle w:val="Compact"/>
      </w:pPr>
      <w:r>
        <w:t xml:space="preserve">28.8</w:t>
      </w:r>
    </w:p>
    <w:p>
      <w:pPr>
        <w:pStyle w:val="Compact"/>
      </w:pPr>
      <w:r>
        <w:t xml:space="preserve">28.9</w:t>
      </w:r>
    </w:p>
    <w:p>
      <w:pPr>
        <w:pStyle w:val="Compact"/>
      </w:pPr>
      <w:r>
        <w:t xml:space="preserve">Atomizado</w:t>
      </w:r>
    </w:p>
    <w:p>
      <w:pPr>
        <w:pStyle w:val="Compact"/>
      </w:pPr>
      <w:r>
        <w:t xml:space="preserve">28.0</w:t>
      </w:r>
    </w:p>
    <w:p>
      <w:pPr>
        <w:pStyle w:val="Compact"/>
      </w:pPr>
      <w:r>
        <w:t xml:space="preserve">17.8</w:t>
      </w:r>
    </w:p>
    <w:p>
      <w:pPr>
        <w:pStyle w:val="Compact"/>
      </w:pPr>
      <w:r>
        <w:t xml:space="preserve">N=100%</w:t>
      </w:r>
    </w:p>
    <w:p>
      <w:pPr>
        <w:pStyle w:val="Compact"/>
      </w:pPr>
      <w:r>
        <w:t xml:space="preserve">729.0</w:t>
      </w:r>
    </w:p>
    <w:p>
      <w:pPr>
        <w:pStyle w:val="Compact"/>
      </w:pPr>
      <w:r>
        <w:t xml:space="preserve">242.0</w:t>
      </w:r>
    </w:p>
    <w:p>
      <w:pPr>
        <w:pStyle w:val="Textoindependiente"/>
      </w:pPr>
      <w:r>
        <w:t xml:space="preserve">La Tabla</w:t>
      </w:r>
      <w:r>
        <w:t xml:space="preserve"> </w:t>
      </w:r>
      <w:r>
        <w:t xml:space="preserve">3.13</w:t>
      </w:r>
      <w:r>
        <w:t xml:space="preserve"> </w:t>
      </w:r>
      <w:r>
        <w:t xml:space="preserve">muestra que los respondentes que corresponden a un perfil de cohesión horizontal se ubican en barrios con alto acceso a servicios públicos, mientras que los respondentes de perfil atomizado se ubican en barrios con escaso acceso a servicios públicos. No hay diferencia notoria en el perfil de cohesión vertical.</w:t>
      </w:r>
    </w:p>
    <w:p>
      <w:pPr>
        <w:pStyle w:val="Textoindependiente"/>
      </w:pPr>
      <w:r>
        <w:t xml:space="preserve">Accesibilidad a servicios y equipamientos públicos, considerando el ajuste entre oferta (numero y tamaño de equipamientos) y demanda (poblacion) en un radio de 15 minutos a pie (aprox 1 km), a nivel de manzana (CIT).</w:t>
      </w:r>
    </w:p>
    <w:p>
      <w:pPr>
        <w:pStyle w:val="Compact"/>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Tabla 3.14: Efecto de la pertenencia a una etnia sobre las clases de cohesion social</w:t>
      </w:r>
    </w:p>
    <w:p>
      <w:pPr>
        <w:pStyle w:val="Compact"/>
      </w:pPr>
      <w:r>
        <w:t xml:space="preserve">Etnia</w:t>
      </w:r>
    </w:p>
    <w:p>
      <w:pPr>
        <w:pStyle w:val="Compact"/>
      </w:pPr>
      <w:r>
        <w:t xml:space="preserve">Clases de cohesión social</w:t>
      </w:r>
    </w:p>
    <w:p>
      <w:pPr>
        <w:pStyle w:val="Compact"/>
      </w:pPr>
      <w:r>
        <w:t xml:space="preserve">Ninguna</w:t>
      </w:r>
    </w:p>
    <w:p>
      <w:pPr>
        <w:pStyle w:val="Compact"/>
      </w:pPr>
      <w:r>
        <w:t xml:space="preserve">Pertenece a una etnia</w:t>
      </w:r>
    </w:p>
    <w:p>
      <w:pPr>
        <w:pStyle w:val="Compact"/>
      </w:pPr>
      <w:r>
        <w:t xml:space="preserve">Movilizados</w:t>
      </w:r>
    </w:p>
    <w:p>
      <w:pPr>
        <w:pStyle w:val="Compact"/>
      </w:pPr>
      <w:r>
        <w:t xml:space="preserve">42.3</w:t>
      </w:r>
    </w:p>
    <w:p>
      <w:pPr>
        <w:pStyle w:val="Compact"/>
      </w:pPr>
      <w:r>
        <w:t xml:space="preserve">50.0</w:t>
      </w:r>
    </w:p>
    <w:p>
      <w:pPr>
        <w:pStyle w:val="Compact"/>
      </w:pPr>
      <w:r>
        <w:t xml:space="preserve">Institucionales</w:t>
      </w:r>
    </w:p>
    <w:p>
      <w:pPr>
        <w:pStyle w:val="Compact"/>
      </w:pPr>
      <w:r>
        <w:t xml:space="preserve">33.5</w:t>
      </w:r>
    </w:p>
    <w:p>
      <w:pPr>
        <w:pStyle w:val="Compact"/>
      </w:pPr>
      <w:r>
        <w:t xml:space="preserve">26.7</w:t>
      </w:r>
    </w:p>
    <w:p>
      <w:pPr>
        <w:pStyle w:val="Compact"/>
      </w:pPr>
      <w:r>
        <w:t xml:space="preserve">Atomizado</w:t>
      </w:r>
    </w:p>
    <w:p>
      <w:pPr>
        <w:pStyle w:val="Compact"/>
      </w:pPr>
      <w:r>
        <w:t xml:space="preserve">24.2</w:t>
      </w:r>
    </w:p>
    <w:p>
      <w:pPr>
        <w:pStyle w:val="Compact"/>
      </w:pPr>
      <w:r>
        <w:t xml:space="preserve">23.3</w:t>
      </w:r>
    </w:p>
    <w:p>
      <w:pPr>
        <w:pStyle w:val="Compact"/>
      </w:pPr>
      <w:r>
        <w:t xml:space="preserve">N=100%</w:t>
      </w:r>
    </w:p>
    <w:p>
      <w:pPr>
        <w:pStyle w:val="Compact"/>
      </w:pPr>
      <w:r>
        <w:t xml:space="preserve">1300.0</w:t>
      </w:r>
    </w:p>
    <w:p>
      <w:pPr>
        <w:pStyle w:val="Compact"/>
      </w:pPr>
      <w:r>
        <w:t xml:space="preserve">172.0</w:t>
      </w:r>
    </w:p>
    <w:p>
      <w:pPr>
        <w:pStyle w:val="Textoindependiente"/>
      </w:pPr>
      <w:r>
        <w:t xml:space="preserve">La Tabla</w:t>
      </w:r>
      <w:r>
        <w:t xml:space="preserve"> </w:t>
      </w:r>
      <w:r>
        <w:t xml:space="preserve">3.14</w:t>
      </w:r>
      <w:r>
        <w:t xml:space="preserve"> </w:t>
      </w:r>
      <w:r>
        <w:t xml:space="preserve">muestra que los respondentes que declaran pertenecer a una etnia se asocian con más probabilidad a un perfil de cohesión horizontal, mientras que quienes no se identifican con alguna etnia se asocian con más probabilidad a un perfil de tipo vertical. El reconocimiento de la condición étnica, específicamente la pertenencia a un pueblo indígena se encuentra asociado con mayor participación cívica y respeto a la diversidad.</w:t>
      </w:r>
    </w:p>
    <w:p>
      <w:pPr>
        <w:pStyle w:val="Compact"/>
        <w:numPr>
          <w:numId w:val="1027"/>
          <w:ilvl w:val="0"/>
        </w:numPr>
      </w:pPr>
      <w:r>
        <w:t xml:space="preserve">Vinculado con lo anterior, en la última década la condición étnica ha sido progresivamente asociada con la</w:t>
      </w:r>
      <w:r>
        <w:t xml:space="preserve"> </w:t>
      </w:r>
      <w:r>
        <w:rPr>
          <w:b/>
        </w:rPr>
        <w:t xml:space="preserve">condición de migrante</w:t>
      </w:r>
      <w:r>
        <w:t xml:space="preserve">. El pequeño número de migrantes en la muestra no permite, lamentablemente, elaborar sobre este aspecto.</w:t>
      </w:r>
    </w:p>
    <w:p>
      <w:pPr>
        <w:pStyle w:val="Compact"/>
      </w:pPr>
      <w:r>
        <w:t xml:space="preserve">Tabla 3.15: Efecto de la condicion de migracion sobre las clases de cohesion social</w:t>
      </w:r>
    </w:p>
    <w:p>
      <w:pPr>
        <w:pStyle w:val="Compact"/>
      </w:pPr>
      <w:r>
        <w:t xml:space="preserve">Nacionalidad</w:t>
      </w:r>
    </w:p>
    <w:p>
      <w:pPr>
        <w:pStyle w:val="Compact"/>
      </w:pPr>
      <w:r>
        <w:t xml:space="preserve">Clases de cohesión social</w:t>
      </w:r>
    </w:p>
    <w:p>
      <w:pPr>
        <w:pStyle w:val="Compact"/>
      </w:pPr>
      <w:r>
        <w:t xml:space="preserve">Nacionalidad chilena</w:t>
      </w:r>
    </w:p>
    <w:p>
      <w:pPr>
        <w:pStyle w:val="Compact"/>
      </w:pPr>
      <w:r>
        <w:t xml:space="preserve">Otra nacionalidad</w:t>
      </w:r>
    </w:p>
    <w:p>
      <w:pPr>
        <w:pStyle w:val="Compact"/>
      </w:pPr>
      <w:r>
        <w:t xml:space="preserve">Movilizados</w:t>
      </w:r>
    </w:p>
    <w:p>
      <w:pPr>
        <w:pStyle w:val="Compact"/>
      </w:pPr>
      <w:r>
        <w:t xml:space="preserve">43.4</w:t>
      </w:r>
    </w:p>
    <w:p>
      <w:pPr>
        <w:pStyle w:val="Compact"/>
      </w:pPr>
      <w:r>
        <w:t xml:space="preserve">33.3</w:t>
      </w:r>
    </w:p>
    <w:p>
      <w:pPr>
        <w:pStyle w:val="Compact"/>
      </w:pPr>
      <w:r>
        <w:t xml:space="preserve">Institucionales</w:t>
      </w:r>
    </w:p>
    <w:p>
      <w:pPr>
        <w:pStyle w:val="Compact"/>
      </w:pPr>
      <w:r>
        <w:t xml:space="preserve">32.6</w:t>
      </w:r>
    </w:p>
    <w:p>
      <w:pPr>
        <w:pStyle w:val="Compact"/>
      </w:pPr>
      <w:r>
        <w:t xml:space="preserve">29.6</w:t>
      </w:r>
    </w:p>
    <w:p>
      <w:pPr>
        <w:pStyle w:val="Compact"/>
      </w:pPr>
      <w:r>
        <w:t xml:space="preserve">Atomizado</w:t>
      </w:r>
    </w:p>
    <w:p>
      <w:pPr>
        <w:pStyle w:val="Compact"/>
      </w:pPr>
      <w:r>
        <w:t xml:space="preserve">24.0</w:t>
      </w:r>
    </w:p>
    <w:p>
      <w:pPr>
        <w:pStyle w:val="Compact"/>
      </w:pPr>
      <w:r>
        <w:t xml:space="preserve">37.0</w:t>
      </w:r>
    </w:p>
    <w:p>
      <w:pPr>
        <w:pStyle w:val="Compact"/>
      </w:pPr>
      <w:r>
        <w:t xml:space="preserve">N=100%</w:t>
      </w:r>
    </w:p>
    <w:p>
      <w:pPr>
        <w:pStyle w:val="Compact"/>
      </w:pPr>
      <w:r>
        <w:t xml:space="preserve">1463.0</w:t>
      </w:r>
    </w:p>
    <w:p>
      <w:pPr>
        <w:pStyle w:val="Compact"/>
      </w:pPr>
      <w:r>
        <w:t xml:space="preserve">27.0</w:t>
      </w:r>
    </w:p>
    <w:p>
      <w:pPr>
        <w:pStyle w:val="Textoindependiente"/>
      </w:pPr>
      <w:r>
        <w:t xml:space="preserve">La Tabla</w:t>
      </w:r>
      <w:r>
        <w:t xml:space="preserve"> </w:t>
      </w:r>
      <w:r>
        <w:t xml:space="preserve">3.15</w:t>
      </w:r>
      <w:r>
        <w:t xml:space="preserve"> </w:t>
      </w:r>
      <w:r>
        <w:t xml:space="preserve">indica que los chilenos muestran una asociación más probable con un perfil de cohesión horizontal. Si bien los migrantes se encuentran más asociados con un perfil de atomización, el pequeño número de migrantes en la muestra no permite afirmar que la pauta sea representativa de esta población. #considerar no presentar la tabla#</w:t>
      </w:r>
    </w:p>
    <w:p>
      <w:pPr>
        <w:pStyle w:val="Ttulo1"/>
      </w:pPr>
      <w:bookmarkStart w:id="100" w:name="bibliografía"/>
      <w:r>
        <w:t xml:space="preserve">Bibliografía</w:t>
      </w:r>
      <w:bookmarkEnd w:id="100"/>
    </w:p>
    <w:bookmarkStart w:id="118" w:name="refs"/>
    <w:bookmarkStart w:id="101" w:name="ref-barozet_clases_2021"/>
    <w:p>
      <w:pPr>
        <w:pStyle w:val="Bibliografa"/>
      </w:pPr>
      <w:r>
        <w:t xml:space="preserve">Barozet, E., Contreras, D., Espinoza, V., Gayo, M., y Méndez, M. L. (2021).</w:t>
      </w:r>
      <w:r>
        <w:t xml:space="preserve"> </w:t>
      </w:r>
      <w:r>
        <w:rPr>
          <w:i/>
        </w:rPr>
        <w:t xml:space="preserve">Clases medias en tiempos de crisis: vulnerabilidad persistente, desafíos para la cohesión y un nuevo pacto social en Chile</w:t>
      </w:r>
      <w:r>
        <w:t xml:space="preserve">. Santiago de Chile: CEPAL.</w:t>
      </w:r>
    </w:p>
    <w:bookmarkEnd w:id="101"/>
    <w:bookmarkStart w:id="102"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102"/>
    <w:bookmarkStart w:id="103" w:name="ref-cepal_cohesion_2010"/>
    <w:p>
      <w:pPr>
        <w:pStyle w:val="Bibliografa"/>
      </w:pPr>
      <w:r>
        <w:t xml:space="preserve">CEPAL. (2010b).</w:t>
      </w:r>
      <w:r>
        <w:t xml:space="preserve"> </w:t>
      </w:r>
      <w:r>
        <w:rPr>
          <w:i/>
        </w:rPr>
        <w:t xml:space="preserve">Cohesión Social En América Latina. Una Revisión de Conceptos, Marcos de Referencia e Indicadores</w:t>
      </w:r>
      <w:r>
        <w:t xml:space="preserve">. Santiago de Chile: CEPAL.</w:t>
      </w:r>
    </w:p>
    <w:bookmarkEnd w:id="103"/>
    <w:bookmarkStart w:id="104"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04"/>
    <w:bookmarkStart w:id="105"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05"/>
    <w:bookmarkStart w:id="106" w:name="ref-dragolov_social_2013"/>
    <w:p>
      <w:pPr>
        <w:pStyle w:val="Bibliografa"/>
      </w:pPr>
      <w:r>
        <w:t xml:space="preserve">Dragolov, G., Ignácz, Z., Lorenz, J., Delhey, J., y Boehnke, K. (2013).</w:t>
      </w:r>
      <w:r>
        <w:t xml:space="preserve"> </w:t>
      </w:r>
      <w:r>
        <w:rPr>
          <w:i/>
        </w:rPr>
        <w:t xml:space="preserve">Social Cohesion Radar Measuring Common Ground: An International Comparison of Social Cohesion Methods Report</w:t>
      </w:r>
      <w:r>
        <w:t xml:space="preserve">.</w:t>
      </w:r>
    </w:p>
    <w:bookmarkEnd w:id="106"/>
    <w:bookmarkStart w:id="107" w:name="ref-jenson_mapping_1998"/>
    <w:p>
      <w:pPr>
        <w:pStyle w:val="Bibliografa"/>
      </w:pPr>
      <w:r>
        <w:t xml:space="preserve">Jenson, J. (1998).</w:t>
      </w:r>
      <w:r>
        <w:t xml:space="preserve"> </w:t>
      </w:r>
      <w:r>
        <w:rPr>
          <w:i/>
        </w:rPr>
        <w:t xml:space="preserve">Mapping Social Cohesion: The State of Canadian Research</w:t>
      </w:r>
      <w:r>
        <w:t xml:space="preserve">.</w:t>
      </w:r>
    </w:p>
    <w:bookmarkEnd w:id="107"/>
    <w:bookmarkStart w:id="108" w:name="ref-maldonado_inclusion_2020"/>
    <w:p>
      <w:pPr>
        <w:pStyle w:val="Bibliografa"/>
      </w:pPr>
      <w:r>
        <w:t xml:space="preserve">Maldonado, C., Marinho, M. L., Robles, C., y Desarrollo, A. E. de C. I. para el. (2020).</w:t>
      </w:r>
      <w:r>
        <w:t xml:space="preserve"> </w:t>
      </w:r>
      <w:r>
        <w:rPr>
          <w:i/>
        </w:rPr>
        <w:t xml:space="preserve">Inclusión y cohesión social en el marco de la Agenda 2030 para el Desarrollo Sostenible: claves para un desarrollo social inclusivo en América Latina</w:t>
      </w:r>
      <w:r>
        <w:t xml:space="preserve">. Santiago de Chile: CEPAL.</w:t>
      </w:r>
    </w:p>
    <w:bookmarkEnd w:id="108"/>
    <w:bookmarkStart w:id="109" w:name="ref-markus_mapping_2014"/>
    <w:p>
      <w:pPr>
        <w:pStyle w:val="Bibliografa"/>
      </w:pPr>
      <w:r>
        <w:t xml:space="preserve">Markus, A. (2014).</w:t>
      </w:r>
      <w:r>
        <w:t xml:space="preserve"> </w:t>
      </w:r>
      <w:r>
        <w:rPr>
          <w:i/>
        </w:rPr>
        <w:t xml:space="preserve">Mapping Social Cohesion</w:t>
      </w:r>
      <w:r>
        <w:t xml:space="preserve">.</w:t>
      </w:r>
    </w:p>
    <w:bookmarkEnd w:id="109"/>
    <w:bookmarkStart w:id="111"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10">
        <w:r>
          <w:rPr>
            <w:rStyle w:val="Hipervnculo"/>
          </w:rPr>
          <w:t xml:space="preserve">https://doi.org/10.1371/journal.pone.0008694</w:t>
        </w:r>
      </w:hyperlink>
    </w:p>
    <w:bookmarkEnd w:id="111"/>
    <w:bookmarkStart w:id="113"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12">
        <w:r>
          <w:rPr>
            <w:rStyle w:val="Hipervnculo"/>
          </w:rPr>
          <w:t xml:space="preserve">https://doi.org/10.1007/s11205-016-1314-5</w:t>
        </w:r>
      </w:hyperlink>
    </w:p>
    <w:bookmarkEnd w:id="113"/>
    <w:bookmarkStart w:id="114" w:name="ref-sojo_cohesion_2007"/>
    <w:p>
      <w:pPr>
        <w:pStyle w:val="Bibliografa"/>
      </w:pPr>
      <w:r>
        <w:t xml:space="preserve">Sojo, A., Uthoff, A., y CEPAL, N. (2007). Cohesión social en América Latina y el Caribe: una revisión perentoria de algunas de sus dimensiones.</w:t>
      </w:r>
      <w:r>
        <w:t xml:space="preserve"> </w:t>
      </w:r>
      <w:r>
        <w:rPr>
          <w:i/>
        </w:rPr>
        <w:t xml:space="preserve">CEPAL</w:t>
      </w:r>
      <w:r>
        <w:t xml:space="preserve">.</w:t>
      </w:r>
    </w:p>
    <w:bookmarkEnd w:id="114"/>
    <w:bookmarkStart w:id="115" w:name="ref-tironibarrios_redes_2008"/>
    <w:p>
      <w:pPr>
        <w:pStyle w:val="Bibliografa"/>
      </w:pPr>
      <w:r>
        <w:t xml:space="preserve">Tironi Barrios, E., y Foxley Ríoseco, A. (Eds.). (2008).</w:t>
      </w:r>
      <w:r>
        <w:t xml:space="preserve"> </w:t>
      </w:r>
      <w:r>
        <w:rPr>
          <w:i/>
        </w:rPr>
        <w:t xml:space="preserve">Redes, Estado y mercados: soportes de la cohesión social latinoamericana</w:t>
      </w:r>
      <w:r>
        <w:t xml:space="preserve">. Santiago de Chile: Uqbar Editores.</w:t>
      </w:r>
    </w:p>
    <w:bookmarkEnd w:id="115"/>
    <w:bookmarkStart w:id="116"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16"/>
    <w:bookmarkStart w:id="117"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w:t>
      </w:r>
    </w:p>
    <w:bookmarkEnd w:id="117"/>
    <w:bookmarkEnd w:id="118"/>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3" Target="media/rId93.jpg" /><Relationship Type="http://schemas.openxmlformats.org/officeDocument/2006/relationships/image" Id="rId95" Target="media/rId95.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2" Target="https://doi.org/10.1007/s11205-016-1314-5" TargetMode="External" /><Relationship Type="http://schemas.openxmlformats.org/officeDocument/2006/relationships/hyperlink" Id="rId110" Target="https://doi.org/10.1371/journal.pone.0008694" TargetMode="External" /><Relationship Type="http://schemas.openxmlformats.org/officeDocument/2006/relationships/hyperlink" Id="rId99" Target="https://drive.google.com/file/d/12PsOPviSGwowOsxzvZn_vhwEoMbyMkl3/view"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2" Target="https://doi.org/10.1007/s11205-016-1314-5" TargetMode="External" /><Relationship Type="http://schemas.openxmlformats.org/officeDocument/2006/relationships/hyperlink" Id="rId110" Target="https://doi.org/10.1371/journal.pone.0008694" TargetMode="External" /><Relationship Type="http://schemas.openxmlformats.org/officeDocument/2006/relationships/hyperlink" Id="rId99" Target="https://drive.google.com/file/d/12PsOPviSGwowOsxzvZn_vhwEoMbyMkl3/view"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2021-10-15T17:00:42Z</dcterms:created>
  <dcterms:modified xsi:type="dcterms:W3CDTF">2021-10-15T17:00:42Z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2021-10-15</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